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both"/>
        <w:rPr>
          <w:rFonts w:hint="eastAsia" w:ascii="仿宋" w:hAnsi="仿宋" w:eastAsia="仿宋" w:cs="仿宋"/>
          <w:color w:val="auto"/>
          <w:sz w:val="36"/>
          <w:szCs w:val="36"/>
          <w:highlight w:val="none"/>
          <w:u w:val="none"/>
        </w:rPr>
      </w:pPr>
    </w:p>
    <w:p>
      <w:pPr>
        <w:spacing w:line="560" w:lineRule="exact"/>
        <w:ind w:firstLine="880" w:firstLineChars="200"/>
        <w:jc w:val="center"/>
        <w:rPr>
          <w:rFonts w:hint="eastAsia" w:ascii="仿宋" w:hAnsi="仿宋" w:eastAsia="仿宋" w:cs="仿宋"/>
          <w:color w:val="auto"/>
          <w:sz w:val="44"/>
          <w:szCs w:val="44"/>
          <w:highlight w:val="none"/>
          <w:u w:val="none"/>
        </w:rPr>
      </w:pPr>
      <w:r>
        <w:rPr>
          <w:rFonts w:hint="eastAsia" w:ascii="仿宋" w:hAnsi="仿宋" w:eastAsia="仿宋" w:cs="仿宋"/>
          <w:color w:val="auto"/>
          <w:sz w:val="44"/>
          <w:szCs w:val="44"/>
          <w:highlight w:val="none"/>
          <w:u w:val="none"/>
        </w:rPr>
        <w:t>2017年度霸州市卫生和计划生育局决算信息公开情况说明</w:t>
      </w:r>
    </w:p>
    <w:p>
      <w:pPr>
        <w:widowControl/>
        <w:spacing w:line="560" w:lineRule="exact"/>
        <w:ind w:firstLine="640" w:firstLineChars="200"/>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按照《预算法》、《河北省财政厅关于印发&lt;河北省预决算公开操作规程实施细则&gt;的通知》（冀财预﹝2016﹞129号）等规定，现将2017年部门决算公开如下：</w:t>
      </w:r>
    </w:p>
    <w:p>
      <w:pPr>
        <w:widowControl/>
        <w:numPr>
          <w:ilvl w:val="0"/>
          <w:numId w:val="1"/>
        </w:numPr>
        <w:spacing w:line="560" w:lineRule="exact"/>
        <w:ind w:firstLine="640" w:firstLineChars="200"/>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部门职责及机构设置情况</w:t>
      </w:r>
    </w:p>
    <w:p>
      <w:pPr>
        <w:widowControl/>
        <w:spacing w:line="560" w:lineRule="exact"/>
        <w:ind w:firstLine="560" w:firstLineChars="20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部门职责：</w:t>
      </w:r>
    </w:p>
    <w:p>
      <w:pPr>
        <w:widowControl/>
        <w:spacing w:line="560" w:lineRule="exact"/>
        <w:ind w:firstLine="640" w:firstLineChars="200"/>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一）负责全市卫生和计划生育政策的贯彻落实，监督实施卫生和计划生育行业技术标准和技术规范。负责协调推进医药卫生体制改革和医疗保障，统筹规划卫生和计划生育服务资源配置，指导区域卫生和计划生育规划的编制和实施。</w:t>
      </w:r>
    </w:p>
    <w:p>
      <w:pPr>
        <w:widowControl/>
        <w:spacing w:line="560" w:lineRule="exact"/>
        <w:ind w:firstLine="640" w:firstLineChars="200"/>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二）负责全市疾病预防控制规划、免疫规划、严重危害人民健康的公共卫生问题的干预措施的组织落实，拟订卫生应急和紧急医学救援预案，组织和指导突发公共卫生事件预防控制和各类突发公共事件的医疗卫生救援。</w:t>
      </w:r>
    </w:p>
    <w:p>
      <w:pPr>
        <w:widowControl/>
        <w:spacing w:line="560" w:lineRule="exact"/>
        <w:ind w:firstLine="640" w:firstLineChars="200"/>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三）负责职责范围内的职业卫生、放射卫生、环境卫生、学校卫生、公共场所卫生、饮用水卫生工作，组织开展相关监测、调查、评估和监督，负责传染病防治监督。组织开展食品安全风险监测、评估，依法受理企业标准备案工作。</w:t>
      </w:r>
    </w:p>
    <w:p>
      <w:pPr>
        <w:widowControl/>
        <w:spacing w:line="560" w:lineRule="exact"/>
        <w:ind w:firstLine="640" w:firstLineChars="200"/>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四）组织实施基层卫生、妇幼健康、计划生育技术服务和提高出生人口素质的发展规划和政策措施。指导全市基层卫生、妇幼卫生和计划生育技术服务体系建设，推进基本公共卫生服务逐步均等化。完善基层运行新机制和乡村医生管理制度，负责全市新型农村合作医疗相关政策的实施和综合监督管理。依法管理和规范母婴保健和计划生育技术服务工作，依法规范计划生育药具工作，推动实施计划生育生殖健康促进计划，降低出生缺陷人口数量。</w:t>
      </w:r>
    </w:p>
    <w:p>
      <w:pPr>
        <w:widowControl/>
        <w:spacing w:line="560" w:lineRule="exact"/>
        <w:ind w:firstLine="640" w:firstLineChars="200"/>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五）负责全市医疗机构和医疗服务的全行业管理。组织实施医疗机构及其医疗服务、医疗技术、医疗质量、医疗安全以及采供血机构的管理规范，会同有关部门组织实施卫生专业技术人员资格准入，实施卫生专业技术人员执业规则和服务规范，建立医疗服务评价和监督管理体系，负责卫生计生系统行风建设工作。</w:t>
      </w:r>
    </w:p>
    <w:p>
      <w:pPr>
        <w:widowControl/>
        <w:spacing w:line="560" w:lineRule="exact"/>
        <w:ind w:firstLine="640" w:firstLineChars="200"/>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（六）负责组织推进公立医院改革，建立公益性为导向的绩效考核和评价运行机制，建设和谐医患关系，提出医疗服务和药品价格政策的建议。</w:t>
      </w:r>
    </w:p>
    <w:p>
      <w:pPr>
        <w:widowControl/>
        <w:spacing w:line="560" w:lineRule="exact"/>
        <w:ind w:firstLine="640" w:firstLineChars="200"/>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（七）组织实施国家基本药物制度。拟订药品采购、配送、使用管理措施。负责高值医用耗材集中采购的相关工作。</w:t>
      </w:r>
    </w:p>
    <w:p>
      <w:pPr>
        <w:widowControl/>
        <w:spacing w:line="560" w:lineRule="exact"/>
        <w:ind w:firstLine="640" w:firstLineChars="200"/>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（八）负责全市卫生和计划生育人才发展工作，指导卫生和计划生育人才队伍建设。加强全科医生等急需紧缺专业人才培养。</w:t>
      </w:r>
    </w:p>
    <w:p>
      <w:pPr>
        <w:widowControl/>
        <w:spacing w:line="560" w:lineRule="exact"/>
        <w:ind w:firstLine="640" w:firstLineChars="200"/>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（九）负责全市卫生和计划生育科技发展工作，组织实施卫生和计划生育相关科研项目。参与拟订医学教育发展规划，协同指导院校医学教育和计划生育教育，组织实施毕业后医学教育和继续医学教育。</w:t>
      </w:r>
    </w:p>
    <w:p>
      <w:pPr>
        <w:widowControl/>
        <w:spacing w:line="560" w:lineRule="exact"/>
        <w:ind w:firstLine="640" w:firstLineChars="200"/>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十）贯彻落实有关卫生与计划生育政策法律法规，指导全市卫生和计划生育工作，完善综合监督执法体系，规范执法行为，监督检查法律法规和政策措施的落实，组织查处重大违法行为。坚持计划生育目标管理责任制，监督落实计划生育一票否决制。</w:t>
      </w:r>
    </w:p>
    <w:p>
      <w:pPr>
        <w:widowControl/>
        <w:spacing w:line="560" w:lineRule="exact"/>
        <w:ind w:firstLine="640" w:firstLineChars="200"/>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（十一）负责卫生和计划生育宣传、健康教育、健康促进、交流合作等工作。加强卫生和计划生育信息化建设和统计工作。指导基层计划生育基础管理和服务工作。</w:t>
      </w:r>
    </w:p>
    <w:p>
      <w:pPr>
        <w:widowControl/>
        <w:spacing w:line="560" w:lineRule="exact"/>
        <w:ind w:firstLine="640" w:firstLineChars="200"/>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（十二）负责全市中医药发展工作，承担中医医疗、预防、保健、康复及临床用药等监督管理责任。承担继承和发展中医药文化的有关工作。</w:t>
      </w:r>
    </w:p>
    <w:p>
      <w:pPr>
        <w:widowControl/>
        <w:spacing w:line="560" w:lineRule="exact"/>
        <w:ind w:firstLine="640" w:firstLineChars="200"/>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（十三）负责市保健对象的医疗保健工作，负责重要会议与重大活动的医疗卫生保障工作。</w:t>
      </w:r>
    </w:p>
    <w:p>
      <w:pPr>
        <w:widowControl/>
        <w:spacing w:line="560" w:lineRule="exact"/>
        <w:ind w:firstLine="640" w:firstLineChars="200"/>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十四）组织建立计划生育利益导向、计划生育特殊困难家庭扶助和促进计划生育家庭发展等机制。负责协调推进有关部门、群众团体履行计划生育工作相关职责，建立与经济社会发展政策的衔接机制，提出稳定低生育水平政策措施。加强出生人口性别比综合治理工作。</w:t>
      </w:r>
    </w:p>
    <w:p>
      <w:pPr>
        <w:widowControl/>
        <w:spacing w:line="560" w:lineRule="exact"/>
        <w:ind w:firstLine="640" w:firstLineChars="200"/>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（十五）承办市政府交办的其他事项。</w:t>
      </w:r>
    </w:p>
    <w:p>
      <w:pPr>
        <w:widowControl/>
        <w:spacing w:line="560" w:lineRule="exact"/>
        <w:ind w:firstLine="560" w:firstLineChars="20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机构设置：</w:t>
      </w:r>
    </w:p>
    <w:p>
      <w:pPr>
        <w:spacing w:line="560" w:lineRule="exact"/>
        <w:ind w:firstLine="560" w:firstLineChars="200"/>
        <w:outlineLvl w:val="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部门机构设置情况</w:t>
      </w:r>
    </w:p>
    <w:tbl>
      <w:tblPr>
        <w:tblStyle w:val="4"/>
        <w:tblpPr w:leftFromText="180" w:rightFromText="180" w:vertAnchor="text" w:horzAnchor="page" w:tblpXSpec="center" w:tblpY="612"/>
        <w:tblOverlap w:val="never"/>
        <w:tblW w:w="991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378"/>
        <w:gridCol w:w="1227"/>
        <w:gridCol w:w="1159"/>
        <w:gridCol w:w="31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exact"/>
          <w:tblHeader/>
          <w:jc w:val="center"/>
        </w:trPr>
        <w:tc>
          <w:tcPr>
            <w:tcW w:w="4378" w:type="dxa"/>
            <w:vMerge w:val="restart"/>
            <w:noWrap w:val="0"/>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单位名称</w:t>
            </w:r>
          </w:p>
        </w:tc>
        <w:tc>
          <w:tcPr>
            <w:tcW w:w="1227" w:type="dxa"/>
            <w:vMerge w:val="restart"/>
            <w:noWrap w:val="0"/>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单位性质</w:t>
            </w:r>
          </w:p>
        </w:tc>
        <w:tc>
          <w:tcPr>
            <w:tcW w:w="1159" w:type="dxa"/>
            <w:vMerge w:val="restart"/>
            <w:noWrap w:val="0"/>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单位规格</w:t>
            </w:r>
          </w:p>
        </w:tc>
        <w:tc>
          <w:tcPr>
            <w:tcW w:w="3150" w:type="dxa"/>
            <w:vMerge w:val="restart"/>
            <w:noWrap w:val="0"/>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exact"/>
          <w:tblHeader/>
          <w:jc w:val="center"/>
        </w:trPr>
        <w:tc>
          <w:tcPr>
            <w:tcW w:w="4378" w:type="dxa"/>
            <w:vMerge w:val="continue"/>
            <w:noWrap w:val="0"/>
            <w:vAlign w:val="center"/>
          </w:tcPr>
          <w:p>
            <w:pPr>
              <w:spacing w:line="300" w:lineRule="exact"/>
              <w:ind w:firstLine="420" w:firstLineChars="200"/>
              <w:jc w:val="center"/>
              <w:outlineLvl w:val="0"/>
              <w:rPr>
                <w:rFonts w:hint="eastAsia" w:ascii="仿宋" w:hAnsi="仿宋" w:eastAsia="仿宋" w:cs="仿宋"/>
                <w:sz w:val="21"/>
                <w:szCs w:val="21"/>
              </w:rPr>
            </w:pPr>
          </w:p>
        </w:tc>
        <w:tc>
          <w:tcPr>
            <w:tcW w:w="1227" w:type="dxa"/>
            <w:vMerge w:val="continue"/>
            <w:noWrap w:val="0"/>
            <w:vAlign w:val="center"/>
          </w:tcPr>
          <w:p>
            <w:pPr>
              <w:spacing w:line="300" w:lineRule="exact"/>
              <w:ind w:firstLine="420" w:firstLineChars="200"/>
              <w:jc w:val="center"/>
              <w:outlineLvl w:val="0"/>
              <w:rPr>
                <w:rFonts w:hint="eastAsia" w:ascii="仿宋" w:hAnsi="仿宋" w:eastAsia="仿宋" w:cs="仿宋"/>
                <w:sz w:val="21"/>
                <w:szCs w:val="21"/>
              </w:rPr>
            </w:pPr>
          </w:p>
        </w:tc>
        <w:tc>
          <w:tcPr>
            <w:tcW w:w="1159" w:type="dxa"/>
            <w:vMerge w:val="continue"/>
            <w:noWrap w:val="0"/>
            <w:vAlign w:val="center"/>
          </w:tcPr>
          <w:p>
            <w:pPr>
              <w:spacing w:line="300" w:lineRule="exact"/>
              <w:ind w:firstLine="420" w:firstLineChars="200"/>
              <w:jc w:val="center"/>
              <w:outlineLvl w:val="0"/>
              <w:rPr>
                <w:rFonts w:hint="eastAsia" w:ascii="仿宋" w:hAnsi="仿宋" w:eastAsia="仿宋" w:cs="仿宋"/>
                <w:sz w:val="21"/>
                <w:szCs w:val="21"/>
              </w:rPr>
            </w:pPr>
          </w:p>
        </w:tc>
        <w:tc>
          <w:tcPr>
            <w:tcW w:w="3150" w:type="dxa"/>
            <w:vMerge w:val="continue"/>
            <w:noWrap w:val="0"/>
            <w:vAlign w:val="center"/>
          </w:tcPr>
          <w:p>
            <w:pPr>
              <w:spacing w:line="300" w:lineRule="exact"/>
              <w:ind w:firstLine="420" w:firstLineChars="200"/>
              <w:jc w:val="center"/>
              <w:outlineLvl w:val="0"/>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exact"/>
          <w:jc w:val="center"/>
        </w:trPr>
        <w:tc>
          <w:tcPr>
            <w:tcW w:w="4378" w:type="dxa"/>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霸州市卫生和计划生育局</w:t>
            </w:r>
          </w:p>
        </w:tc>
        <w:tc>
          <w:tcPr>
            <w:tcW w:w="1227" w:type="dxa"/>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行政</w:t>
            </w:r>
          </w:p>
        </w:tc>
        <w:tc>
          <w:tcPr>
            <w:tcW w:w="1159" w:type="dxa"/>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正科级</w:t>
            </w:r>
          </w:p>
        </w:tc>
        <w:tc>
          <w:tcPr>
            <w:tcW w:w="3150" w:type="dxa"/>
            <w:noWrap w:val="0"/>
            <w:vAlign w:val="center"/>
          </w:tcPr>
          <w:p>
            <w:pPr>
              <w:spacing w:line="300" w:lineRule="exact"/>
              <w:jc w:val="center"/>
              <w:rPr>
                <w:rFonts w:hint="eastAsia" w:ascii="仿宋" w:hAnsi="仿宋" w:eastAsia="仿宋" w:cs="仿宋"/>
                <w:sz w:val="21"/>
                <w:szCs w:val="21"/>
                <w:lang w:eastAsia="zh-CN"/>
              </w:rPr>
            </w:pPr>
            <w:r>
              <w:rPr>
                <w:rFonts w:hint="eastAsia" w:ascii="仿宋" w:hAnsi="仿宋" w:eastAsia="仿宋" w:cs="仿宋"/>
                <w:sz w:val="21"/>
                <w:szCs w:val="21"/>
              </w:rPr>
              <w:t>财政</w:t>
            </w:r>
            <w:r>
              <w:rPr>
                <w:rFonts w:hint="eastAsia" w:ascii="仿宋" w:hAnsi="仿宋" w:eastAsia="仿宋" w:cs="仿宋"/>
                <w:sz w:val="21"/>
                <w:szCs w:val="21"/>
                <w:lang w:val="en-US" w:eastAsia="zh-CN"/>
              </w:rPr>
              <w:t>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exact"/>
          <w:jc w:val="center"/>
        </w:trPr>
        <w:tc>
          <w:tcPr>
            <w:tcW w:w="4378" w:type="dxa"/>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霸州市卫生防疫站</w:t>
            </w:r>
          </w:p>
        </w:tc>
        <w:tc>
          <w:tcPr>
            <w:tcW w:w="1227" w:type="dxa"/>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其他</w:t>
            </w:r>
          </w:p>
        </w:tc>
        <w:tc>
          <w:tcPr>
            <w:tcW w:w="1159" w:type="dxa"/>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正科级</w:t>
            </w:r>
          </w:p>
        </w:tc>
        <w:tc>
          <w:tcPr>
            <w:tcW w:w="3150" w:type="dxa"/>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exact"/>
          <w:jc w:val="center"/>
        </w:trPr>
        <w:tc>
          <w:tcPr>
            <w:tcW w:w="4378" w:type="dxa"/>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霸州市妇幼保健院</w:t>
            </w:r>
          </w:p>
        </w:tc>
        <w:tc>
          <w:tcPr>
            <w:tcW w:w="1227" w:type="dxa"/>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其他</w:t>
            </w:r>
          </w:p>
        </w:tc>
        <w:tc>
          <w:tcPr>
            <w:tcW w:w="1159" w:type="dxa"/>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其他</w:t>
            </w:r>
          </w:p>
        </w:tc>
        <w:tc>
          <w:tcPr>
            <w:tcW w:w="3150" w:type="dxa"/>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exact"/>
          <w:jc w:val="center"/>
        </w:trPr>
        <w:tc>
          <w:tcPr>
            <w:tcW w:w="4378" w:type="dxa"/>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霸州市南孟中心卫生院</w:t>
            </w:r>
          </w:p>
        </w:tc>
        <w:tc>
          <w:tcPr>
            <w:tcW w:w="1227" w:type="dxa"/>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差额事业</w:t>
            </w:r>
          </w:p>
        </w:tc>
        <w:tc>
          <w:tcPr>
            <w:tcW w:w="1159" w:type="dxa"/>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其他</w:t>
            </w:r>
          </w:p>
        </w:tc>
        <w:tc>
          <w:tcPr>
            <w:tcW w:w="3150" w:type="dxa"/>
            <w:noWrap w:val="0"/>
            <w:vAlign w:val="center"/>
          </w:tcPr>
          <w:p>
            <w:pPr>
              <w:spacing w:line="300" w:lineRule="exact"/>
              <w:jc w:val="center"/>
              <w:rPr>
                <w:rFonts w:hint="eastAsia" w:ascii="仿宋" w:hAnsi="仿宋" w:eastAsia="仿宋" w:cs="仿宋"/>
                <w:sz w:val="21"/>
                <w:szCs w:val="21"/>
              </w:rPr>
            </w:pPr>
            <w:bookmarkStart w:id="0" w:name="_GoBack"/>
            <w:bookmarkEnd w:id="0"/>
            <w:r>
              <w:rPr>
                <w:rFonts w:hint="eastAsia" w:ascii="仿宋" w:hAnsi="仿宋" w:eastAsia="仿宋" w:cs="仿宋"/>
                <w:sz w:val="21"/>
                <w:szCs w:val="21"/>
              </w:rPr>
              <w:t>财政性资金定额或定向补助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exact"/>
          <w:jc w:val="center"/>
        </w:trPr>
        <w:tc>
          <w:tcPr>
            <w:tcW w:w="4378" w:type="dxa"/>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霸州市煎茶铺中心卫生院</w:t>
            </w:r>
          </w:p>
        </w:tc>
        <w:tc>
          <w:tcPr>
            <w:tcW w:w="1227" w:type="dxa"/>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差额事业</w:t>
            </w:r>
          </w:p>
        </w:tc>
        <w:tc>
          <w:tcPr>
            <w:tcW w:w="1159" w:type="dxa"/>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其他</w:t>
            </w:r>
          </w:p>
        </w:tc>
        <w:tc>
          <w:tcPr>
            <w:tcW w:w="3150" w:type="dxa"/>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财政性资金定额或定向补助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exact"/>
          <w:jc w:val="center"/>
        </w:trPr>
        <w:tc>
          <w:tcPr>
            <w:tcW w:w="4378" w:type="dxa"/>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霸州市信安中心卫生院</w:t>
            </w:r>
          </w:p>
        </w:tc>
        <w:tc>
          <w:tcPr>
            <w:tcW w:w="1227" w:type="dxa"/>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差额事业</w:t>
            </w:r>
          </w:p>
        </w:tc>
        <w:tc>
          <w:tcPr>
            <w:tcW w:w="1159" w:type="dxa"/>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其他</w:t>
            </w:r>
          </w:p>
        </w:tc>
        <w:tc>
          <w:tcPr>
            <w:tcW w:w="3150" w:type="dxa"/>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财政性资金定额或定向补助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exact"/>
          <w:jc w:val="center"/>
        </w:trPr>
        <w:tc>
          <w:tcPr>
            <w:tcW w:w="4378" w:type="dxa"/>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霸州市杨芬港中心卫生院</w:t>
            </w:r>
          </w:p>
        </w:tc>
        <w:tc>
          <w:tcPr>
            <w:tcW w:w="1227" w:type="dxa"/>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差额事业</w:t>
            </w:r>
          </w:p>
        </w:tc>
        <w:tc>
          <w:tcPr>
            <w:tcW w:w="1159" w:type="dxa"/>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其他</w:t>
            </w:r>
          </w:p>
        </w:tc>
        <w:tc>
          <w:tcPr>
            <w:tcW w:w="3150" w:type="dxa"/>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财政性资金定额或定向补助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exact"/>
          <w:jc w:val="center"/>
        </w:trPr>
        <w:tc>
          <w:tcPr>
            <w:tcW w:w="4378" w:type="dxa"/>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霸州市杨芬港医院</w:t>
            </w:r>
          </w:p>
        </w:tc>
        <w:tc>
          <w:tcPr>
            <w:tcW w:w="1227" w:type="dxa"/>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差额事业</w:t>
            </w:r>
          </w:p>
        </w:tc>
        <w:tc>
          <w:tcPr>
            <w:tcW w:w="1159" w:type="dxa"/>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其他</w:t>
            </w:r>
          </w:p>
        </w:tc>
        <w:tc>
          <w:tcPr>
            <w:tcW w:w="3150" w:type="dxa"/>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财政性资金定额或定向补助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55" w:hRule="exact"/>
          <w:jc w:val="center"/>
        </w:trPr>
        <w:tc>
          <w:tcPr>
            <w:tcW w:w="4378" w:type="dxa"/>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霸州市东杨庄乡卫生院</w:t>
            </w:r>
          </w:p>
        </w:tc>
        <w:tc>
          <w:tcPr>
            <w:tcW w:w="1227" w:type="dxa"/>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差额事业</w:t>
            </w:r>
          </w:p>
        </w:tc>
        <w:tc>
          <w:tcPr>
            <w:tcW w:w="1159" w:type="dxa"/>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其他</w:t>
            </w:r>
          </w:p>
        </w:tc>
        <w:tc>
          <w:tcPr>
            <w:tcW w:w="3150" w:type="dxa"/>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财政性资金定额或定向补助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exact"/>
          <w:jc w:val="center"/>
        </w:trPr>
        <w:tc>
          <w:tcPr>
            <w:tcW w:w="4378" w:type="dxa"/>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霸州市王庄子乡卫生院</w:t>
            </w:r>
          </w:p>
        </w:tc>
        <w:tc>
          <w:tcPr>
            <w:tcW w:w="1227" w:type="dxa"/>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差额事业</w:t>
            </w:r>
          </w:p>
        </w:tc>
        <w:tc>
          <w:tcPr>
            <w:tcW w:w="1159" w:type="dxa"/>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其他</w:t>
            </w:r>
          </w:p>
        </w:tc>
        <w:tc>
          <w:tcPr>
            <w:tcW w:w="3150" w:type="dxa"/>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财政性资金定额或定向补助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exact"/>
          <w:jc w:val="center"/>
        </w:trPr>
        <w:tc>
          <w:tcPr>
            <w:tcW w:w="4378" w:type="dxa"/>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霸州市堂二里镇卫生院</w:t>
            </w:r>
          </w:p>
        </w:tc>
        <w:tc>
          <w:tcPr>
            <w:tcW w:w="1227" w:type="dxa"/>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差额事业</w:t>
            </w:r>
          </w:p>
        </w:tc>
        <w:tc>
          <w:tcPr>
            <w:tcW w:w="1159" w:type="dxa"/>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其他</w:t>
            </w:r>
          </w:p>
        </w:tc>
        <w:tc>
          <w:tcPr>
            <w:tcW w:w="3150" w:type="dxa"/>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财政性资金定额或定向补助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exact"/>
          <w:jc w:val="center"/>
        </w:trPr>
        <w:tc>
          <w:tcPr>
            <w:tcW w:w="4378" w:type="dxa"/>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霸州市康仙庄乡卫生院</w:t>
            </w:r>
          </w:p>
        </w:tc>
        <w:tc>
          <w:tcPr>
            <w:tcW w:w="1227" w:type="dxa"/>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差额事业</w:t>
            </w:r>
          </w:p>
        </w:tc>
        <w:tc>
          <w:tcPr>
            <w:tcW w:w="1159" w:type="dxa"/>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其他</w:t>
            </w:r>
          </w:p>
        </w:tc>
        <w:tc>
          <w:tcPr>
            <w:tcW w:w="3150" w:type="dxa"/>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财政性资金定额或定向补助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exact"/>
          <w:jc w:val="center"/>
        </w:trPr>
        <w:tc>
          <w:tcPr>
            <w:tcW w:w="4378" w:type="dxa"/>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霸州市康仙庄乡辛店医院</w:t>
            </w:r>
          </w:p>
        </w:tc>
        <w:tc>
          <w:tcPr>
            <w:tcW w:w="1227" w:type="dxa"/>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差额事业</w:t>
            </w:r>
          </w:p>
        </w:tc>
        <w:tc>
          <w:tcPr>
            <w:tcW w:w="1159" w:type="dxa"/>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其他</w:t>
            </w:r>
          </w:p>
        </w:tc>
        <w:tc>
          <w:tcPr>
            <w:tcW w:w="3150" w:type="dxa"/>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财政性资金定额或定向补助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exact"/>
          <w:jc w:val="center"/>
        </w:trPr>
        <w:tc>
          <w:tcPr>
            <w:tcW w:w="4378" w:type="dxa"/>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霸州市岔河集乡卫生院</w:t>
            </w:r>
          </w:p>
        </w:tc>
        <w:tc>
          <w:tcPr>
            <w:tcW w:w="1227" w:type="dxa"/>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差额事业</w:t>
            </w:r>
          </w:p>
        </w:tc>
        <w:tc>
          <w:tcPr>
            <w:tcW w:w="1159" w:type="dxa"/>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其他</w:t>
            </w:r>
          </w:p>
        </w:tc>
        <w:tc>
          <w:tcPr>
            <w:tcW w:w="3150" w:type="dxa"/>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财政性资金定额或定向补助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exact"/>
          <w:jc w:val="center"/>
        </w:trPr>
        <w:tc>
          <w:tcPr>
            <w:tcW w:w="4378" w:type="dxa"/>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霸州市经济技术开发区社区卫生服务中心</w:t>
            </w:r>
          </w:p>
        </w:tc>
        <w:tc>
          <w:tcPr>
            <w:tcW w:w="1227" w:type="dxa"/>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差额事业</w:t>
            </w:r>
          </w:p>
        </w:tc>
        <w:tc>
          <w:tcPr>
            <w:tcW w:w="1159" w:type="dxa"/>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其他</w:t>
            </w:r>
          </w:p>
        </w:tc>
        <w:tc>
          <w:tcPr>
            <w:tcW w:w="3150" w:type="dxa"/>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财政性资金定额或定向补助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95" w:hRule="exact"/>
          <w:jc w:val="center"/>
        </w:trPr>
        <w:tc>
          <w:tcPr>
            <w:tcW w:w="4378" w:type="dxa"/>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霸州市东段乡卫生院</w:t>
            </w:r>
          </w:p>
        </w:tc>
        <w:tc>
          <w:tcPr>
            <w:tcW w:w="1227" w:type="dxa"/>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差额事业</w:t>
            </w:r>
          </w:p>
        </w:tc>
        <w:tc>
          <w:tcPr>
            <w:tcW w:w="1159" w:type="dxa"/>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其他</w:t>
            </w:r>
          </w:p>
        </w:tc>
        <w:tc>
          <w:tcPr>
            <w:tcW w:w="3150" w:type="dxa"/>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财政性资金定额或定向补助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exact"/>
          <w:jc w:val="center"/>
        </w:trPr>
        <w:tc>
          <w:tcPr>
            <w:tcW w:w="4378" w:type="dxa"/>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霸州市辛章办事处医院</w:t>
            </w:r>
          </w:p>
        </w:tc>
        <w:tc>
          <w:tcPr>
            <w:tcW w:w="1227" w:type="dxa"/>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差额事业</w:t>
            </w:r>
          </w:p>
        </w:tc>
        <w:tc>
          <w:tcPr>
            <w:tcW w:w="1159" w:type="dxa"/>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其他</w:t>
            </w:r>
          </w:p>
        </w:tc>
        <w:tc>
          <w:tcPr>
            <w:tcW w:w="3150" w:type="dxa"/>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财政性资金定额或定向补助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exact"/>
          <w:jc w:val="center"/>
        </w:trPr>
        <w:tc>
          <w:tcPr>
            <w:tcW w:w="4378" w:type="dxa"/>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霸州市胜芳镇卫生院</w:t>
            </w:r>
          </w:p>
        </w:tc>
        <w:tc>
          <w:tcPr>
            <w:tcW w:w="1227" w:type="dxa"/>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差额事业</w:t>
            </w:r>
          </w:p>
        </w:tc>
        <w:tc>
          <w:tcPr>
            <w:tcW w:w="1159" w:type="dxa"/>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其他</w:t>
            </w:r>
          </w:p>
        </w:tc>
        <w:tc>
          <w:tcPr>
            <w:tcW w:w="3150" w:type="dxa"/>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财政性资金定额或定向补助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87" w:hRule="exact"/>
          <w:jc w:val="center"/>
        </w:trPr>
        <w:tc>
          <w:tcPr>
            <w:tcW w:w="4378" w:type="dxa"/>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霸州市胜芳镇中口医院</w:t>
            </w:r>
          </w:p>
        </w:tc>
        <w:tc>
          <w:tcPr>
            <w:tcW w:w="1227" w:type="dxa"/>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差额事业</w:t>
            </w:r>
          </w:p>
        </w:tc>
        <w:tc>
          <w:tcPr>
            <w:tcW w:w="1159" w:type="dxa"/>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其他</w:t>
            </w:r>
          </w:p>
        </w:tc>
        <w:tc>
          <w:tcPr>
            <w:tcW w:w="3150" w:type="dxa"/>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财政性资金定额或定向补助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exact"/>
          <w:jc w:val="center"/>
        </w:trPr>
        <w:tc>
          <w:tcPr>
            <w:tcW w:w="4378" w:type="dxa"/>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霸州市霸州镇卫生院</w:t>
            </w:r>
          </w:p>
        </w:tc>
        <w:tc>
          <w:tcPr>
            <w:tcW w:w="1227" w:type="dxa"/>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差额事业</w:t>
            </w:r>
          </w:p>
        </w:tc>
        <w:tc>
          <w:tcPr>
            <w:tcW w:w="1159" w:type="dxa"/>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其他</w:t>
            </w:r>
          </w:p>
        </w:tc>
        <w:tc>
          <w:tcPr>
            <w:tcW w:w="3150" w:type="dxa"/>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财政性资金定额或定向补助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exact"/>
          <w:jc w:val="center"/>
        </w:trPr>
        <w:tc>
          <w:tcPr>
            <w:tcW w:w="4378" w:type="dxa"/>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霸州市霸州镇老堤医院</w:t>
            </w:r>
          </w:p>
        </w:tc>
        <w:tc>
          <w:tcPr>
            <w:tcW w:w="1227" w:type="dxa"/>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差额事业</w:t>
            </w:r>
          </w:p>
        </w:tc>
        <w:tc>
          <w:tcPr>
            <w:tcW w:w="1159" w:type="dxa"/>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其他</w:t>
            </w:r>
          </w:p>
        </w:tc>
        <w:tc>
          <w:tcPr>
            <w:tcW w:w="3150" w:type="dxa"/>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财政性资金定额或定向补助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exact"/>
          <w:jc w:val="center"/>
        </w:trPr>
        <w:tc>
          <w:tcPr>
            <w:tcW w:w="4378" w:type="dxa"/>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廊坊市第四人民医院</w:t>
            </w:r>
          </w:p>
        </w:tc>
        <w:tc>
          <w:tcPr>
            <w:tcW w:w="1227" w:type="dxa"/>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其他</w:t>
            </w:r>
          </w:p>
        </w:tc>
        <w:tc>
          <w:tcPr>
            <w:tcW w:w="1159" w:type="dxa"/>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正科级</w:t>
            </w:r>
          </w:p>
        </w:tc>
        <w:tc>
          <w:tcPr>
            <w:tcW w:w="3150" w:type="dxa"/>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财政性资金定额或定向补助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25" w:hRule="exact"/>
          <w:jc w:val="center"/>
        </w:trPr>
        <w:tc>
          <w:tcPr>
            <w:tcW w:w="4378" w:type="dxa"/>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霸州市第二医院</w:t>
            </w:r>
          </w:p>
        </w:tc>
        <w:tc>
          <w:tcPr>
            <w:tcW w:w="1227" w:type="dxa"/>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其他</w:t>
            </w:r>
          </w:p>
        </w:tc>
        <w:tc>
          <w:tcPr>
            <w:tcW w:w="1159" w:type="dxa"/>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正科级</w:t>
            </w:r>
          </w:p>
        </w:tc>
        <w:tc>
          <w:tcPr>
            <w:tcW w:w="3150" w:type="dxa"/>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财政性资金定额或定向补助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exact"/>
          <w:jc w:val="center"/>
        </w:trPr>
        <w:tc>
          <w:tcPr>
            <w:tcW w:w="4378" w:type="dxa"/>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霸州市第三医院</w:t>
            </w:r>
          </w:p>
        </w:tc>
        <w:tc>
          <w:tcPr>
            <w:tcW w:w="1227" w:type="dxa"/>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其他</w:t>
            </w:r>
          </w:p>
        </w:tc>
        <w:tc>
          <w:tcPr>
            <w:tcW w:w="1159" w:type="dxa"/>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正科级</w:t>
            </w:r>
          </w:p>
        </w:tc>
        <w:tc>
          <w:tcPr>
            <w:tcW w:w="3150" w:type="dxa"/>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财政性资金定额或定向补助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exact"/>
          <w:jc w:val="center"/>
        </w:trPr>
        <w:tc>
          <w:tcPr>
            <w:tcW w:w="4378" w:type="dxa"/>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霸州市中医院</w:t>
            </w:r>
          </w:p>
        </w:tc>
        <w:tc>
          <w:tcPr>
            <w:tcW w:w="1227" w:type="dxa"/>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其他</w:t>
            </w:r>
          </w:p>
        </w:tc>
        <w:tc>
          <w:tcPr>
            <w:tcW w:w="1159" w:type="dxa"/>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正科级</w:t>
            </w:r>
          </w:p>
        </w:tc>
        <w:tc>
          <w:tcPr>
            <w:tcW w:w="3150" w:type="dxa"/>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财政性资金定额或定向补助</w:t>
            </w:r>
          </w:p>
        </w:tc>
      </w:tr>
    </w:tbl>
    <w:p>
      <w:pPr>
        <w:spacing w:line="560" w:lineRule="exact"/>
        <w:ind w:firstLine="560" w:firstLineChars="200"/>
        <w:rPr>
          <w:rFonts w:hint="eastAsia" w:ascii="仿宋" w:hAnsi="仿宋" w:eastAsia="仿宋" w:cs="仿宋"/>
          <w:color w:val="auto"/>
          <w:sz w:val="32"/>
          <w:szCs w:val="32"/>
          <w:highlight w:val="none"/>
          <w:u w:val="none"/>
        </w:rPr>
      </w:pPr>
      <w:r>
        <w:rPr>
          <w:rFonts w:hint="eastAsia" w:ascii="仿宋" w:hAnsi="仿宋" w:eastAsia="仿宋" w:cs="仿宋"/>
          <w:color w:val="auto"/>
          <w:sz w:val="28"/>
          <w:szCs w:val="28"/>
          <w:highlight w:val="none"/>
          <w:u w:val="none"/>
        </w:rPr>
        <w:t>二、</w:t>
      </w:r>
      <w:r>
        <w:rPr>
          <w:rFonts w:hint="eastAsia" w:ascii="仿宋" w:hAnsi="仿宋" w:eastAsia="仿宋" w:cs="仿宋"/>
          <w:color w:val="auto"/>
          <w:sz w:val="32"/>
          <w:szCs w:val="32"/>
          <w:highlight w:val="none"/>
          <w:u w:val="none"/>
        </w:rPr>
        <w:t>部门决算报表（见附表）</w:t>
      </w:r>
    </w:p>
    <w:p>
      <w:pPr>
        <w:widowControl/>
        <w:spacing w:line="560" w:lineRule="exact"/>
        <w:ind w:firstLine="640" w:firstLineChars="200"/>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（一）、收入支出决算总表</w:t>
      </w:r>
    </w:p>
    <w:p>
      <w:pPr>
        <w:widowControl/>
        <w:spacing w:line="560" w:lineRule="exact"/>
        <w:ind w:firstLine="640" w:firstLineChars="200"/>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（二）、收入决算表</w:t>
      </w:r>
    </w:p>
    <w:p>
      <w:pPr>
        <w:widowControl/>
        <w:spacing w:line="560" w:lineRule="exact"/>
        <w:ind w:firstLine="640" w:firstLineChars="200"/>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（三）、支出决算表</w:t>
      </w:r>
    </w:p>
    <w:p>
      <w:pPr>
        <w:widowControl/>
        <w:spacing w:line="560" w:lineRule="exact"/>
        <w:ind w:firstLine="640" w:firstLineChars="200"/>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（四）、财政拨款收入支出决算总表</w:t>
      </w:r>
    </w:p>
    <w:p>
      <w:pPr>
        <w:widowControl/>
        <w:spacing w:line="560" w:lineRule="exact"/>
        <w:ind w:firstLine="640" w:firstLineChars="200"/>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（五）、一般公共预算财政拨款支出决算表</w:t>
      </w:r>
    </w:p>
    <w:p>
      <w:pPr>
        <w:widowControl/>
        <w:spacing w:line="560" w:lineRule="exact"/>
        <w:ind w:firstLine="640" w:firstLineChars="200"/>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（六）、一般公共预算财政拨款基本支出决算表</w:t>
      </w:r>
    </w:p>
    <w:p>
      <w:pPr>
        <w:widowControl/>
        <w:spacing w:line="560" w:lineRule="exact"/>
        <w:ind w:firstLine="640" w:firstLineChars="200"/>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（七）、政府性基金预算财政拨款收入支出决算表</w:t>
      </w:r>
    </w:p>
    <w:p>
      <w:pPr>
        <w:widowControl/>
        <w:spacing w:line="560" w:lineRule="exact"/>
        <w:ind w:firstLine="640" w:firstLineChars="200"/>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（八）、国有资本经营预算财政拨款收入支出决算表</w:t>
      </w:r>
    </w:p>
    <w:p>
      <w:pPr>
        <w:widowControl/>
        <w:spacing w:line="560" w:lineRule="exact"/>
        <w:ind w:firstLine="640" w:firstLineChars="200"/>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（九）、“三公经费”及相关信息统计表</w:t>
      </w:r>
    </w:p>
    <w:p>
      <w:pPr>
        <w:widowControl/>
        <w:spacing w:line="560" w:lineRule="exact"/>
        <w:ind w:firstLine="640" w:firstLineChars="200"/>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（十）、政府采购情况表</w:t>
      </w:r>
    </w:p>
    <w:p>
      <w:pPr>
        <w:spacing w:line="560" w:lineRule="exact"/>
        <w:ind w:firstLine="640" w:firstLineChars="200"/>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三、2017年度部门决算情况说明</w:t>
      </w:r>
    </w:p>
    <w:p>
      <w:pPr>
        <w:snapToGrid w:val="0"/>
        <w:spacing w:line="560" w:lineRule="exact"/>
        <w:ind w:firstLine="643" w:firstLineChars="200"/>
        <w:rPr>
          <w:rFonts w:hint="eastAsia" w:ascii="仿宋" w:hAnsi="仿宋" w:eastAsia="仿宋" w:cs="仿宋"/>
          <w:b/>
          <w:bCs/>
          <w:color w:val="auto"/>
          <w:sz w:val="32"/>
          <w:szCs w:val="32"/>
          <w:highlight w:val="none"/>
          <w:u w:val="none"/>
        </w:rPr>
      </w:pPr>
      <w:r>
        <w:rPr>
          <w:rFonts w:hint="eastAsia" w:ascii="仿宋" w:hAnsi="仿宋" w:eastAsia="仿宋" w:cs="仿宋"/>
          <w:b/>
          <w:bCs/>
          <w:color w:val="auto"/>
          <w:sz w:val="32"/>
          <w:szCs w:val="32"/>
          <w:highlight w:val="none"/>
          <w:u w:val="none"/>
        </w:rPr>
        <w:t>（一）收入支出决算总体情况说明</w:t>
      </w:r>
    </w:p>
    <w:p>
      <w:pPr>
        <w:snapToGrid w:val="0"/>
        <w:spacing w:line="560" w:lineRule="exact"/>
        <w:ind w:firstLine="640" w:firstLineChars="200"/>
        <w:rPr>
          <w:rFonts w:hint="eastAsia" w:ascii="仿宋" w:hAnsi="仿宋" w:eastAsia="仿宋" w:cs="仿宋"/>
          <w:color w:val="auto"/>
          <w:sz w:val="32"/>
          <w:szCs w:val="32"/>
          <w:highlight w:val="none"/>
          <w:u w:val="none"/>
          <w:lang w:eastAsia="zh-CN"/>
        </w:rPr>
      </w:pPr>
      <w:r>
        <w:rPr>
          <w:rFonts w:hint="eastAsia" w:ascii="仿宋" w:hAnsi="仿宋" w:eastAsia="仿宋" w:cs="仿宋"/>
          <w:color w:val="auto"/>
          <w:sz w:val="32"/>
          <w:szCs w:val="32"/>
          <w:highlight w:val="none"/>
          <w:u w:val="none"/>
        </w:rPr>
        <w:t>霸州市卫生和计划生育局2017年度</w:t>
      </w:r>
      <w:r>
        <w:rPr>
          <w:rFonts w:hint="eastAsia" w:ascii="仿宋" w:hAnsi="仿宋" w:eastAsia="仿宋" w:cs="仿宋"/>
          <w:color w:val="auto"/>
          <w:sz w:val="32"/>
          <w:highlight w:val="none"/>
          <w:u w:val="none"/>
        </w:rPr>
        <w:t>决算收入总计</w:t>
      </w:r>
      <w:r>
        <w:rPr>
          <w:rFonts w:hint="eastAsia" w:ascii="仿宋" w:hAnsi="仿宋" w:eastAsia="仿宋" w:cs="仿宋"/>
          <w:color w:val="auto"/>
          <w:sz w:val="32"/>
          <w:szCs w:val="32"/>
          <w:highlight w:val="none"/>
          <w:u w:val="none"/>
        </w:rPr>
        <w:t>114877.53</w:t>
      </w:r>
      <w:r>
        <w:rPr>
          <w:rFonts w:hint="eastAsia" w:ascii="仿宋" w:hAnsi="仿宋" w:eastAsia="仿宋" w:cs="仿宋"/>
          <w:color w:val="auto"/>
          <w:sz w:val="32"/>
          <w:highlight w:val="none"/>
          <w:u w:val="none"/>
        </w:rPr>
        <w:t>万元，</w:t>
      </w:r>
      <w:r>
        <w:rPr>
          <w:rFonts w:hint="eastAsia" w:ascii="仿宋" w:hAnsi="仿宋" w:eastAsia="仿宋" w:cs="仿宋"/>
          <w:color w:val="auto"/>
          <w:sz w:val="32"/>
          <w:highlight w:val="none"/>
          <w:u w:val="none"/>
          <w:lang w:val="en-US" w:eastAsia="zh-CN"/>
        </w:rPr>
        <w:t>比2016年度决算增加1084.59万元，增长0.95%，主要原因是深化医药卫生体制综合改革的深入，政府财政投入逐步加大。2017年</w:t>
      </w:r>
      <w:r>
        <w:rPr>
          <w:rFonts w:hint="eastAsia" w:ascii="仿宋" w:hAnsi="仿宋" w:eastAsia="仿宋" w:cs="仿宋"/>
          <w:color w:val="auto"/>
          <w:sz w:val="32"/>
          <w:highlight w:val="none"/>
          <w:u w:val="none"/>
        </w:rPr>
        <w:t>决算支出总计</w:t>
      </w:r>
      <w:r>
        <w:rPr>
          <w:rFonts w:hint="eastAsia" w:ascii="仿宋" w:hAnsi="仿宋" w:eastAsia="仿宋" w:cs="仿宋"/>
          <w:color w:val="auto"/>
          <w:sz w:val="32"/>
          <w:szCs w:val="32"/>
          <w:highlight w:val="none"/>
          <w:u w:val="none"/>
        </w:rPr>
        <w:t>116111.76</w:t>
      </w:r>
      <w:r>
        <w:rPr>
          <w:rFonts w:hint="eastAsia" w:ascii="仿宋" w:hAnsi="仿宋" w:eastAsia="仿宋" w:cs="仿宋"/>
          <w:color w:val="auto"/>
          <w:sz w:val="32"/>
          <w:highlight w:val="none"/>
          <w:u w:val="none"/>
        </w:rPr>
        <w:t>万元</w:t>
      </w:r>
      <w:r>
        <w:rPr>
          <w:rFonts w:hint="eastAsia" w:ascii="仿宋" w:hAnsi="仿宋" w:eastAsia="仿宋" w:cs="仿宋"/>
          <w:color w:val="auto"/>
          <w:sz w:val="32"/>
          <w:highlight w:val="none"/>
          <w:u w:val="none"/>
          <w:lang w:eastAsia="zh-CN"/>
        </w:rPr>
        <w:t>，</w:t>
      </w:r>
      <w:r>
        <w:rPr>
          <w:rFonts w:hint="eastAsia" w:ascii="仿宋" w:hAnsi="仿宋" w:eastAsia="仿宋" w:cs="仿宋"/>
          <w:color w:val="auto"/>
          <w:sz w:val="32"/>
          <w:highlight w:val="none"/>
          <w:u w:val="none"/>
          <w:lang w:val="en-US" w:eastAsia="zh-CN"/>
        </w:rPr>
        <w:t>比</w:t>
      </w:r>
      <w:r>
        <w:rPr>
          <w:rFonts w:hint="eastAsia" w:ascii="仿宋" w:hAnsi="仿宋" w:eastAsia="仿宋" w:cs="仿宋"/>
          <w:color w:val="auto"/>
          <w:sz w:val="32"/>
          <w:highlight w:val="none"/>
          <w:u w:val="none"/>
          <w:lang w:eastAsia="zh-CN"/>
        </w:rPr>
        <w:t>2016年度决算减少2570.38万元，下降2.</w:t>
      </w:r>
      <w:r>
        <w:rPr>
          <w:rFonts w:hint="eastAsia" w:ascii="仿宋" w:hAnsi="仿宋" w:eastAsia="仿宋" w:cs="仿宋"/>
          <w:color w:val="auto"/>
          <w:sz w:val="32"/>
          <w:highlight w:val="none"/>
          <w:u w:val="none"/>
          <w:lang w:val="en-US" w:eastAsia="zh-CN"/>
        </w:rPr>
        <w:t>17</w:t>
      </w:r>
      <w:r>
        <w:rPr>
          <w:rFonts w:hint="eastAsia" w:ascii="仿宋" w:hAnsi="仿宋" w:eastAsia="仿宋" w:cs="仿宋"/>
          <w:color w:val="auto"/>
          <w:sz w:val="32"/>
          <w:highlight w:val="none"/>
          <w:u w:val="none"/>
          <w:lang w:eastAsia="zh-CN"/>
        </w:rPr>
        <w:t>%，主要原因是霸州市人口和计划生育局与霸州市卫生局机构合并，计划生育相关财政投入减少和医疗卫生机构业务收入减少。</w:t>
      </w:r>
    </w:p>
    <w:p>
      <w:pPr>
        <w:snapToGrid w:val="0"/>
        <w:spacing w:line="560" w:lineRule="exact"/>
        <w:ind w:firstLine="643" w:firstLineChars="200"/>
        <w:rPr>
          <w:rFonts w:hint="eastAsia" w:ascii="仿宋" w:hAnsi="仿宋" w:eastAsia="仿宋" w:cs="仿宋"/>
          <w:b/>
          <w:bCs/>
          <w:color w:val="auto"/>
          <w:sz w:val="32"/>
          <w:szCs w:val="32"/>
          <w:highlight w:val="none"/>
          <w:u w:val="none"/>
        </w:rPr>
      </w:pPr>
      <w:r>
        <w:rPr>
          <w:rFonts w:hint="eastAsia" w:ascii="仿宋" w:hAnsi="仿宋" w:eastAsia="仿宋" w:cs="仿宋"/>
          <w:b/>
          <w:bCs/>
          <w:color w:val="auto"/>
          <w:sz w:val="32"/>
          <w:szCs w:val="32"/>
          <w:highlight w:val="none"/>
          <w:u w:val="none"/>
        </w:rPr>
        <w:t>（二）收入决算情况说明</w:t>
      </w:r>
    </w:p>
    <w:p>
      <w:pPr>
        <w:widowControl/>
        <w:spacing w:line="560" w:lineRule="exact"/>
        <w:ind w:firstLine="640" w:firstLineChars="200"/>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霸州市卫生和计划生育局2017年度收入合计114877.5</w:t>
      </w:r>
      <w:r>
        <w:rPr>
          <w:rFonts w:hint="eastAsia" w:ascii="仿宋" w:hAnsi="仿宋" w:eastAsia="仿宋" w:cs="仿宋"/>
          <w:color w:val="auto"/>
          <w:sz w:val="32"/>
          <w:szCs w:val="32"/>
          <w:highlight w:val="none"/>
          <w:u w:val="none"/>
          <w:lang w:val="en-US" w:eastAsia="zh-CN"/>
        </w:rPr>
        <w:t>4</w:t>
      </w:r>
      <w:r>
        <w:rPr>
          <w:rFonts w:hint="eastAsia" w:ascii="仿宋" w:hAnsi="仿宋" w:eastAsia="仿宋" w:cs="仿宋"/>
          <w:color w:val="auto"/>
          <w:sz w:val="32"/>
          <w:szCs w:val="32"/>
          <w:highlight w:val="none"/>
          <w:u w:val="none"/>
        </w:rPr>
        <w:t>万元，其中财政拨款收入18772.26万元，占比16.34%；上级补助收入65万元，占比0.06%；事业收入94257.05万元，占比82.05%；其他收入1783.23万元，占比1.55%。</w:t>
      </w:r>
    </w:p>
    <w:p>
      <w:pPr>
        <w:snapToGrid w:val="0"/>
        <w:spacing w:line="560" w:lineRule="exact"/>
        <w:ind w:firstLine="643" w:firstLineChars="200"/>
        <w:rPr>
          <w:rFonts w:hint="eastAsia" w:ascii="仿宋" w:hAnsi="仿宋" w:eastAsia="仿宋" w:cs="仿宋"/>
          <w:b/>
          <w:bCs/>
          <w:color w:val="auto"/>
          <w:sz w:val="32"/>
          <w:szCs w:val="32"/>
          <w:highlight w:val="none"/>
          <w:u w:val="none"/>
        </w:rPr>
      </w:pPr>
      <w:r>
        <w:rPr>
          <w:rFonts w:hint="eastAsia" w:ascii="仿宋" w:hAnsi="仿宋" w:eastAsia="仿宋" w:cs="仿宋"/>
          <w:b/>
          <w:bCs/>
          <w:color w:val="auto"/>
          <w:sz w:val="32"/>
          <w:szCs w:val="32"/>
          <w:highlight w:val="none"/>
          <w:u w:val="none"/>
        </w:rPr>
        <w:t>（三）支出决算情况说明</w:t>
      </w:r>
    </w:p>
    <w:p>
      <w:pPr>
        <w:widowControl/>
        <w:spacing w:line="560" w:lineRule="exact"/>
        <w:ind w:firstLine="640" w:firstLineChars="200"/>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霸州市卫生和计划生育局2017年部门决算支出为116111.76万元，其中：基本支出103665.35万元，占比89.28%，包含人员经费支出35240.48万元和日常公用经费支出68424.8</w:t>
      </w:r>
      <w:r>
        <w:rPr>
          <w:rFonts w:hint="eastAsia" w:ascii="仿宋" w:hAnsi="仿宋" w:eastAsia="仿宋" w:cs="仿宋"/>
          <w:color w:val="auto"/>
          <w:sz w:val="32"/>
          <w:szCs w:val="32"/>
          <w:highlight w:val="none"/>
          <w:u w:val="none"/>
          <w:lang w:val="en-US" w:eastAsia="zh-CN"/>
        </w:rPr>
        <w:t>7</w:t>
      </w:r>
      <w:r>
        <w:rPr>
          <w:rFonts w:hint="eastAsia" w:ascii="仿宋" w:hAnsi="仿宋" w:eastAsia="仿宋" w:cs="仿宋"/>
          <w:color w:val="auto"/>
          <w:sz w:val="32"/>
          <w:szCs w:val="32"/>
          <w:highlight w:val="none"/>
          <w:u w:val="none"/>
        </w:rPr>
        <w:t>万元；项目支出12446.41万元，占比10.72%。</w:t>
      </w:r>
    </w:p>
    <w:p>
      <w:pPr>
        <w:snapToGrid w:val="0"/>
        <w:spacing w:line="560" w:lineRule="exact"/>
        <w:ind w:firstLine="643" w:firstLineChars="200"/>
        <w:rPr>
          <w:rFonts w:hint="eastAsia" w:ascii="仿宋" w:hAnsi="仿宋" w:eastAsia="仿宋" w:cs="仿宋"/>
          <w:b/>
          <w:bCs/>
          <w:color w:val="auto"/>
          <w:sz w:val="32"/>
          <w:szCs w:val="32"/>
          <w:highlight w:val="none"/>
          <w:u w:val="none"/>
        </w:rPr>
      </w:pPr>
      <w:r>
        <w:rPr>
          <w:rFonts w:hint="eastAsia" w:ascii="仿宋" w:hAnsi="仿宋" w:eastAsia="仿宋" w:cs="仿宋"/>
          <w:b/>
          <w:bCs/>
          <w:color w:val="auto"/>
          <w:sz w:val="32"/>
          <w:szCs w:val="32"/>
          <w:highlight w:val="none"/>
          <w:u w:val="none"/>
        </w:rPr>
        <w:t>（四）财政拨款收入支出决算总体情况说明</w:t>
      </w:r>
    </w:p>
    <w:p>
      <w:pPr>
        <w:widowControl/>
        <w:spacing w:line="560" w:lineRule="exact"/>
        <w:ind w:firstLine="643" w:firstLineChars="200"/>
        <w:rPr>
          <w:rFonts w:hint="eastAsia" w:ascii="仿宋" w:hAnsi="仿宋" w:eastAsia="仿宋" w:cs="仿宋"/>
          <w:b/>
          <w:bCs/>
          <w:color w:val="auto"/>
          <w:sz w:val="32"/>
          <w:szCs w:val="32"/>
          <w:highlight w:val="none"/>
          <w:u w:val="none"/>
        </w:rPr>
      </w:pPr>
      <w:r>
        <w:rPr>
          <w:rFonts w:hint="eastAsia" w:ascii="仿宋" w:hAnsi="仿宋" w:eastAsia="仿宋" w:cs="仿宋"/>
          <w:b/>
          <w:bCs/>
          <w:color w:val="auto"/>
          <w:sz w:val="32"/>
          <w:highlight w:val="none"/>
          <w:u w:val="none"/>
        </w:rPr>
        <w:t>1、财政拨款收支与2016年度决算对比情况</w:t>
      </w:r>
    </w:p>
    <w:p>
      <w:pPr>
        <w:snapToGrid w:val="0"/>
        <w:spacing w:line="560" w:lineRule="exact"/>
        <w:ind w:firstLine="640" w:firstLineChars="200"/>
        <w:rPr>
          <w:rFonts w:hint="eastAsia" w:ascii="仿宋" w:hAnsi="仿宋" w:eastAsia="仿宋" w:cs="仿宋"/>
          <w:color w:val="auto"/>
          <w:sz w:val="32"/>
          <w:highlight w:val="none"/>
          <w:u w:val="none"/>
        </w:rPr>
      </w:pPr>
      <w:r>
        <w:rPr>
          <w:rFonts w:hint="eastAsia" w:ascii="仿宋" w:hAnsi="仿宋" w:eastAsia="仿宋" w:cs="仿宋"/>
          <w:color w:val="auto"/>
          <w:sz w:val="32"/>
          <w:szCs w:val="32"/>
          <w:highlight w:val="none"/>
          <w:u w:val="none"/>
        </w:rPr>
        <w:t>霸州市卫生和计划生育局2017年财政拨款收入决算总计</w:t>
      </w:r>
      <w:r>
        <w:rPr>
          <w:rFonts w:hint="eastAsia" w:ascii="仿宋" w:hAnsi="仿宋" w:eastAsia="仿宋" w:cs="仿宋"/>
          <w:color w:val="auto"/>
          <w:sz w:val="32"/>
          <w:szCs w:val="32"/>
          <w:highlight w:val="none"/>
          <w:u w:val="none"/>
          <w:lang w:val="en-US" w:eastAsia="zh-CN"/>
        </w:rPr>
        <w:t>18772.26</w:t>
      </w:r>
      <w:r>
        <w:rPr>
          <w:rFonts w:hint="eastAsia" w:ascii="仿宋" w:hAnsi="仿宋" w:eastAsia="仿宋" w:cs="仿宋"/>
          <w:color w:val="auto"/>
          <w:sz w:val="32"/>
          <w:szCs w:val="32"/>
          <w:highlight w:val="none"/>
          <w:u w:val="none"/>
        </w:rPr>
        <w:t>万元，较2016年度决算增加1</w:t>
      </w:r>
      <w:r>
        <w:rPr>
          <w:rFonts w:hint="eastAsia" w:ascii="仿宋" w:hAnsi="仿宋" w:eastAsia="仿宋" w:cs="仿宋"/>
          <w:color w:val="auto"/>
          <w:sz w:val="32"/>
          <w:szCs w:val="32"/>
          <w:highlight w:val="none"/>
          <w:u w:val="none"/>
          <w:lang w:val="en-US" w:eastAsia="zh-CN"/>
        </w:rPr>
        <w:t>5903.28</w:t>
      </w:r>
      <w:r>
        <w:rPr>
          <w:rFonts w:hint="eastAsia" w:ascii="仿宋" w:hAnsi="仿宋" w:eastAsia="仿宋" w:cs="仿宋"/>
          <w:color w:val="auto"/>
          <w:sz w:val="32"/>
          <w:szCs w:val="32"/>
          <w:highlight w:val="none"/>
          <w:u w:val="none"/>
        </w:rPr>
        <w:t>万元，增长</w:t>
      </w:r>
      <w:r>
        <w:rPr>
          <w:rFonts w:hint="eastAsia" w:ascii="仿宋" w:hAnsi="仿宋" w:eastAsia="仿宋" w:cs="仿宋"/>
          <w:color w:val="auto"/>
          <w:sz w:val="32"/>
          <w:szCs w:val="32"/>
          <w:highlight w:val="none"/>
          <w:u w:val="none"/>
          <w:lang w:val="en-US" w:eastAsia="zh-CN"/>
        </w:rPr>
        <w:t>554.32</w:t>
      </w:r>
      <w:r>
        <w:rPr>
          <w:rFonts w:hint="eastAsia" w:ascii="仿宋" w:hAnsi="仿宋" w:eastAsia="仿宋" w:cs="仿宋"/>
          <w:color w:val="auto"/>
          <w:sz w:val="32"/>
          <w:szCs w:val="32"/>
          <w:highlight w:val="none"/>
          <w:u w:val="none"/>
        </w:rPr>
        <w:t>%，主要原因是深化医药卫生体制综合改革的深入，政府财政投入逐步加大</w:t>
      </w:r>
      <w:r>
        <w:rPr>
          <w:rFonts w:hint="eastAsia" w:ascii="仿宋" w:hAnsi="仿宋" w:eastAsia="仿宋" w:cs="仿宋"/>
          <w:color w:val="auto"/>
          <w:sz w:val="32"/>
          <w:highlight w:val="none"/>
          <w:u w:val="none"/>
        </w:rPr>
        <w:t>。</w:t>
      </w:r>
      <w:r>
        <w:rPr>
          <w:rFonts w:hint="eastAsia" w:ascii="仿宋" w:hAnsi="仿宋" w:eastAsia="仿宋" w:cs="仿宋"/>
          <w:color w:val="auto"/>
          <w:sz w:val="32"/>
          <w:szCs w:val="32"/>
          <w:highlight w:val="none"/>
          <w:u w:val="none"/>
        </w:rPr>
        <w:t>其中，一般公共预算拨款增加1</w:t>
      </w:r>
      <w:r>
        <w:rPr>
          <w:rFonts w:hint="eastAsia" w:ascii="仿宋" w:hAnsi="仿宋" w:eastAsia="仿宋" w:cs="仿宋"/>
          <w:color w:val="auto"/>
          <w:sz w:val="32"/>
          <w:szCs w:val="32"/>
          <w:highlight w:val="none"/>
          <w:u w:val="none"/>
          <w:lang w:val="en-US" w:eastAsia="zh-CN"/>
        </w:rPr>
        <w:t>5903.28</w:t>
      </w:r>
      <w:r>
        <w:rPr>
          <w:rFonts w:hint="eastAsia" w:ascii="仿宋" w:hAnsi="仿宋" w:eastAsia="仿宋" w:cs="仿宋"/>
          <w:color w:val="auto"/>
          <w:sz w:val="32"/>
          <w:szCs w:val="32"/>
          <w:highlight w:val="none"/>
          <w:u w:val="none"/>
        </w:rPr>
        <w:t>万元</w:t>
      </w:r>
      <w:r>
        <w:rPr>
          <w:rFonts w:hint="eastAsia" w:ascii="仿宋" w:hAnsi="仿宋" w:eastAsia="仿宋" w:cs="仿宋"/>
          <w:color w:val="auto"/>
          <w:sz w:val="32"/>
          <w:szCs w:val="32"/>
          <w:highlight w:val="none"/>
          <w:u w:val="none"/>
          <w:lang w:eastAsia="zh-CN"/>
        </w:rPr>
        <w:t>。</w:t>
      </w:r>
      <w:r>
        <w:rPr>
          <w:rFonts w:hint="eastAsia" w:ascii="仿宋" w:hAnsi="仿宋" w:eastAsia="仿宋" w:cs="仿宋"/>
          <w:color w:val="auto"/>
          <w:sz w:val="32"/>
          <w:szCs w:val="32"/>
          <w:highlight w:val="none"/>
          <w:u w:val="none"/>
        </w:rPr>
        <w:t>2017年财政拨款支出决算总计</w:t>
      </w:r>
      <w:r>
        <w:rPr>
          <w:rFonts w:hint="eastAsia" w:ascii="仿宋" w:hAnsi="仿宋" w:eastAsia="仿宋" w:cs="仿宋"/>
          <w:color w:val="auto"/>
          <w:sz w:val="32"/>
          <w:szCs w:val="32"/>
          <w:highlight w:val="none"/>
          <w:u w:val="none"/>
          <w:lang w:val="en-US" w:eastAsia="zh-CN"/>
        </w:rPr>
        <w:t>16675.12</w:t>
      </w:r>
      <w:r>
        <w:rPr>
          <w:rFonts w:hint="eastAsia" w:ascii="仿宋" w:hAnsi="仿宋" w:eastAsia="仿宋" w:cs="仿宋"/>
          <w:color w:val="auto"/>
          <w:sz w:val="32"/>
          <w:szCs w:val="32"/>
          <w:highlight w:val="none"/>
          <w:u w:val="none"/>
        </w:rPr>
        <w:t>万元，较2016年</w:t>
      </w:r>
      <w:r>
        <w:rPr>
          <w:rFonts w:hint="eastAsia" w:ascii="仿宋" w:hAnsi="仿宋" w:eastAsia="仿宋" w:cs="仿宋"/>
          <w:color w:val="auto"/>
          <w:sz w:val="32"/>
          <w:highlight w:val="none"/>
          <w:u w:val="none"/>
        </w:rPr>
        <w:t>度决算</w:t>
      </w:r>
      <w:r>
        <w:rPr>
          <w:rFonts w:hint="eastAsia" w:ascii="仿宋" w:hAnsi="仿宋" w:eastAsia="仿宋" w:cs="仿宋"/>
          <w:color w:val="auto"/>
          <w:sz w:val="32"/>
          <w:highlight w:val="none"/>
          <w:u w:val="none"/>
          <w:lang w:eastAsia="zh-CN"/>
        </w:rPr>
        <w:t>减少</w:t>
      </w:r>
      <w:r>
        <w:rPr>
          <w:rFonts w:hint="eastAsia" w:ascii="仿宋" w:hAnsi="仿宋" w:eastAsia="仿宋" w:cs="仿宋"/>
          <w:color w:val="auto"/>
          <w:sz w:val="32"/>
          <w:highlight w:val="none"/>
          <w:u w:val="none"/>
          <w:lang w:val="en-US" w:eastAsia="zh-CN"/>
        </w:rPr>
        <w:t>19393.85</w:t>
      </w:r>
      <w:r>
        <w:rPr>
          <w:rFonts w:hint="eastAsia" w:ascii="仿宋" w:hAnsi="仿宋" w:eastAsia="仿宋" w:cs="仿宋"/>
          <w:color w:val="auto"/>
          <w:sz w:val="32"/>
          <w:szCs w:val="32"/>
          <w:highlight w:val="none"/>
          <w:u w:val="none"/>
        </w:rPr>
        <w:t>万元，</w:t>
      </w:r>
      <w:r>
        <w:rPr>
          <w:rFonts w:hint="eastAsia" w:ascii="仿宋" w:hAnsi="仿宋" w:eastAsia="仿宋" w:cs="仿宋"/>
          <w:color w:val="auto"/>
          <w:sz w:val="32"/>
          <w:highlight w:val="none"/>
          <w:u w:val="none"/>
        </w:rPr>
        <w:t>下降</w:t>
      </w:r>
      <w:r>
        <w:rPr>
          <w:rFonts w:hint="eastAsia" w:ascii="仿宋" w:hAnsi="仿宋" w:eastAsia="仿宋" w:cs="仿宋"/>
          <w:color w:val="auto"/>
          <w:sz w:val="32"/>
          <w:highlight w:val="none"/>
          <w:u w:val="none"/>
          <w:lang w:val="en-US" w:eastAsia="zh-CN"/>
        </w:rPr>
        <w:t>53.77</w:t>
      </w:r>
      <w:r>
        <w:rPr>
          <w:rFonts w:hint="eastAsia" w:ascii="仿宋" w:hAnsi="仿宋" w:eastAsia="仿宋" w:cs="仿宋"/>
          <w:color w:val="auto"/>
          <w:sz w:val="32"/>
          <w:highlight w:val="none"/>
          <w:u w:val="none"/>
        </w:rPr>
        <w:t>%，主要原因是</w:t>
      </w:r>
      <w:r>
        <w:rPr>
          <w:rFonts w:hint="eastAsia" w:ascii="仿宋" w:hAnsi="仿宋" w:eastAsia="仿宋" w:cs="仿宋"/>
          <w:color w:val="auto"/>
          <w:sz w:val="32"/>
          <w:szCs w:val="32"/>
          <w:highlight w:val="none"/>
          <w:u w:val="none"/>
        </w:rPr>
        <w:t>霸州市人口和计划生育局与霸州市卫生局机构合并，计划生育相关财政投入减少和医疗卫生机构业务收入减少</w:t>
      </w:r>
      <w:r>
        <w:rPr>
          <w:rFonts w:hint="eastAsia" w:ascii="仿宋" w:hAnsi="仿宋" w:eastAsia="仿宋" w:cs="仿宋"/>
          <w:color w:val="auto"/>
          <w:sz w:val="32"/>
          <w:highlight w:val="none"/>
          <w:u w:val="none"/>
        </w:rPr>
        <w:t>。</w:t>
      </w:r>
    </w:p>
    <w:p>
      <w:pPr>
        <w:widowControl/>
        <w:spacing w:line="560" w:lineRule="exact"/>
        <w:ind w:firstLine="643" w:firstLineChars="200"/>
        <w:rPr>
          <w:rFonts w:hint="eastAsia" w:ascii="仿宋" w:hAnsi="仿宋" w:eastAsia="仿宋" w:cs="仿宋"/>
          <w:b/>
          <w:bCs/>
          <w:color w:val="auto"/>
          <w:sz w:val="32"/>
          <w:szCs w:val="22"/>
          <w:highlight w:val="none"/>
          <w:u w:val="none"/>
        </w:rPr>
      </w:pPr>
      <w:r>
        <w:rPr>
          <w:rFonts w:hint="eastAsia" w:ascii="仿宋" w:hAnsi="仿宋" w:eastAsia="仿宋" w:cs="仿宋"/>
          <w:b/>
          <w:bCs/>
          <w:color w:val="auto"/>
          <w:sz w:val="32"/>
          <w:szCs w:val="22"/>
          <w:highlight w:val="none"/>
          <w:u w:val="none"/>
        </w:rPr>
        <w:t>2、财政拨款收支与年初预算数对比情况</w:t>
      </w:r>
    </w:p>
    <w:p>
      <w:pPr>
        <w:snapToGrid w:val="0"/>
        <w:spacing w:line="560" w:lineRule="exact"/>
        <w:ind w:firstLine="640" w:firstLineChars="200"/>
        <w:rPr>
          <w:rFonts w:hint="eastAsia" w:ascii="仿宋" w:hAnsi="仿宋" w:eastAsia="仿宋" w:cs="仿宋"/>
          <w:color w:val="auto"/>
          <w:sz w:val="32"/>
          <w:highlight w:val="none"/>
          <w:u w:val="none"/>
        </w:rPr>
      </w:pPr>
      <w:r>
        <w:rPr>
          <w:rFonts w:hint="eastAsia" w:ascii="仿宋" w:hAnsi="仿宋" w:eastAsia="仿宋" w:cs="仿宋"/>
          <w:color w:val="auto"/>
          <w:sz w:val="32"/>
          <w:szCs w:val="32"/>
          <w:highlight w:val="none"/>
          <w:u w:val="none"/>
        </w:rPr>
        <w:t>霸州市卫生和计划生育局2017年财政拨款收入决算总计</w:t>
      </w:r>
      <w:r>
        <w:rPr>
          <w:rFonts w:hint="eastAsia" w:ascii="仿宋" w:hAnsi="仿宋" w:eastAsia="仿宋" w:cs="仿宋"/>
          <w:color w:val="auto"/>
          <w:sz w:val="32"/>
          <w:szCs w:val="32"/>
          <w:highlight w:val="none"/>
          <w:u w:val="none"/>
          <w:lang w:val="en-US" w:eastAsia="zh-CN"/>
        </w:rPr>
        <w:t>18772.26</w:t>
      </w:r>
      <w:r>
        <w:rPr>
          <w:rFonts w:hint="eastAsia" w:ascii="仿宋" w:hAnsi="仿宋" w:eastAsia="仿宋" w:cs="仿宋"/>
          <w:color w:val="auto"/>
          <w:sz w:val="32"/>
          <w:szCs w:val="32"/>
          <w:highlight w:val="none"/>
          <w:u w:val="none"/>
        </w:rPr>
        <w:t>万元，较年初预算</w:t>
      </w:r>
      <w:r>
        <w:rPr>
          <w:rFonts w:hint="eastAsia" w:ascii="仿宋" w:hAnsi="仿宋" w:eastAsia="仿宋" w:cs="仿宋"/>
          <w:color w:val="auto"/>
          <w:sz w:val="32"/>
          <w:szCs w:val="32"/>
          <w:highlight w:val="none"/>
          <w:u w:val="none"/>
          <w:lang w:eastAsia="zh-CN"/>
        </w:rPr>
        <w:t>减少</w:t>
      </w:r>
      <w:r>
        <w:rPr>
          <w:rFonts w:hint="eastAsia" w:ascii="仿宋" w:hAnsi="仿宋" w:eastAsia="仿宋" w:cs="仿宋"/>
          <w:color w:val="auto"/>
          <w:sz w:val="32"/>
          <w:szCs w:val="32"/>
          <w:highlight w:val="none"/>
          <w:u w:val="none"/>
          <w:lang w:val="en-US" w:eastAsia="zh-CN"/>
        </w:rPr>
        <w:t>463.86</w:t>
      </w:r>
      <w:r>
        <w:rPr>
          <w:rFonts w:hint="eastAsia" w:ascii="仿宋" w:hAnsi="仿宋" w:eastAsia="仿宋" w:cs="仿宋"/>
          <w:color w:val="auto"/>
          <w:sz w:val="32"/>
          <w:szCs w:val="32"/>
          <w:highlight w:val="none"/>
          <w:u w:val="none"/>
        </w:rPr>
        <w:t>万元，</w:t>
      </w:r>
      <w:r>
        <w:rPr>
          <w:rFonts w:hint="eastAsia" w:ascii="仿宋" w:hAnsi="仿宋" w:eastAsia="仿宋" w:cs="仿宋"/>
          <w:color w:val="auto"/>
          <w:sz w:val="32"/>
          <w:szCs w:val="32"/>
          <w:highlight w:val="none"/>
          <w:u w:val="none"/>
          <w:lang w:eastAsia="zh-CN"/>
        </w:rPr>
        <w:t>下降</w:t>
      </w:r>
      <w:r>
        <w:rPr>
          <w:rFonts w:hint="eastAsia" w:ascii="仿宋" w:hAnsi="仿宋" w:eastAsia="仿宋" w:cs="仿宋"/>
          <w:color w:val="auto"/>
          <w:sz w:val="32"/>
          <w:szCs w:val="32"/>
          <w:highlight w:val="none"/>
          <w:u w:val="none"/>
          <w:lang w:val="en-US" w:eastAsia="zh-CN"/>
        </w:rPr>
        <w:t>2.41</w:t>
      </w:r>
      <w:r>
        <w:rPr>
          <w:rFonts w:hint="eastAsia" w:ascii="仿宋" w:hAnsi="仿宋" w:eastAsia="仿宋" w:cs="仿宋"/>
          <w:color w:val="auto"/>
          <w:sz w:val="32"/>
          <w:highlight w:val="none"/>
          <w:u w:val="none"/>
        </w:rPr>
        <w:t>%，主要原因是</w:t>
      </w:r>
      <w:r>
        <w:rPr>
          <w:rFonts w:hint="eastAsia" w:ascii="仿宋" w:hAnsi="仿宋" w:eastAsia="仿宋" w:cs="仿宋"/>
          <w:color w:val="auto"/>
          <w:sz w:val="32"/>
          <w:szCs w:val="32"/>
          <w:highlight w:val="none"/>
          <w:u w:val="none"/>
        </w:rPr>
        <w:t>深化医药卫生体制综合改革的深入，政府财政投入逐步加大</w:t>
      </w:r>
      <w:r>
        <w:rPr>
          <w:rFonts w:hint="eastAsia" w:ascii="仿宋" w:hAnsi="仿宋" w:eastAsia="仿宋" w:cs="仿宋"/>
          <w:color w:val="auto"/>
          <w:sz w:val="32"/>
          <w:highlight w:val="none"/>
          <w:u w:val="none"/>
        </w:rPr>
        <w:t>。</w:t>
      </w:r>
      <w:r>
        <w:rPr>
          <w:rFonts w:hint="eastAsia" w:ascii="仿宋" w:hAnsi="仿宋" w:eastAsia="仿宋" w:cs="仿宋"/>
          <w:color w:val="auto"/>
          <w:sz w:val="32"/>
          <w:szCs w:val="32"/>
          <w:highlight w:val="none"/>
          <w:u w:val="none"/>
        </w:rPr>
        <w:t>其中，一般公共预算拨款减少463.86万元。2017年财政拨款支出决算总计</w:t>
      </w:r>
      <w:r>
        <w:rPr>
          <w:rFonts w:hint="eastAsia" w:ascii="仿宋" w:hAnsi="仿宋" w:eastAsia="仿宋" w:cs="仿宋"/>
          <w:color w:val="auto"/>
          <w:sz w:val="32"/>
          <w:szCs w:val="32"/>
          <w:highlight w:val="none"/>
          <w:u w:val="none"/>
          <w:lang w:val="en-US" w:eastAsia="zh-CN"/>
        </w:rPr>
        <w:t>16675.12</w:t>
      </w:r>
      <w:r>
        <w:rPr>
          <w:rFonts w:hint="eastAsia" w:ascii="仿宋" w:hAnsi="仿宋" w:eastAsia="仿宋" w:cs="仿宋"/>
          <w:color w:val="auto"/>
          <w:sz w:val="32"/>
          <w:szCs w:val="32"/>
          <w:highlight w:val="none"/>
          <w:u w:val="none"/>
        </w:rPr>
        <w:t>万元，较年初预算</w:t>
      </w:r>
      <w:r>
        <w:rPr>
          <w:rFonts w:hint="eastAsia" w:ascii="仿宋" w:hAnsi="仿宋" w:eastAsia="仿宋" w:cs="仿宋"/>
          <w:color w:val="auto"/>
          <w:sz w:val="32"/>
          <w:szCs w:val="32"/>
          <w:highlight w:val="none"/>
          <w:u w:val="none"/>
          <w:lang w:eastAsia="zh-CN"/>
        </w:rPr>
        <w:t>减少</w:t>
      </w:r>
      <w:r>
        <w:rPr>
          <w:rFonts w:hint="eastAsia" w:ascii="仿宋" w:hAnsi="仿宋" w:eastAsia="仿宋" w:cs="仿宋"/>
          <w:color w:val="auto"/>
          <w:sz w:val="32"/>
          <w:szCs w:val="32"/>
          <w:highlight w:val="none"/>
          <w:u w:val="none"/>
          <w:lang w:val="en-US" w:eastAsia="zh-CN"/>
        </w:rPr>
        <w:t>2561</w:t>
      </w:r>
      <w:r>
        <w:rPr>
          <w:rFonts w:hint="eastAsia" w:ascii="仿宋" w:hAnsi="仿宋" w:eastAsia="仿宋" w:cs="仿宋"/>
          <w:color w:val="auto"/>
          <w:sz w:val="32"/>
          <w:szCs w:val="32"/>
          <w:highlight w:val="none"/>
          <w:u w:val="none"/>
        </w:rPr>
        <w:t>万元，</w:t>
      </w:r>
      <w:r>
        <w:rPr>
          <w:rFonts w:hint="eastAsia" w:ascii="仿宋" w:hAnsi="仿宋" w:eastAsia="仿宋" w:cs="仿宋"/>
          <w:color w:val="auto"/>
          <w:sz w:val="32"/>
          <w:szCs w:val="32"/>
          <w:highlight w:val="none"/>
          <w:u w:val="none"/>
          <w:lang w:eastAsia="zh-CN"/>
        </w:rPr>
        <w:t>下降</w:t>
      </w:r>
      <w:r>
        <w:rPr>
          <w:rFonts w:hint="eastAsia" w:ascii="仿宋" w:hAnsi="仿宋" w:eastAsia="仿宋" w:cs="仿宋"/>
          <w:color w:val="auto"/>
          <w:sz w:val="32"/>
          <w:szCs w:val="32"/>
          <w:highlight w:val="none"/>
          <w:u w:val="none"/>
          <w:lang w:val="en-US" w:eastAsia="zh-CN"/>
        </w:rPr>
        <w:t>13.31</w:t>
      </w:r>
      <w:r>
        <w:rPr>
          <w:rFonts w:hint="eastAsia" w:ascii="仿宋" w:hAnsi="仿宋" w:eastAsia="仿宋" w:cs="仿宋"/>
          <w:color w:val="auto"/>
          <w:sz w:val="32"/>
          <w:highlight w:val="none"/>
          <w:u w:val="none"/>
        </w:rPr>
        <w:t>%，主要原因是</w:t>
      </w:r>
      <w:r>
        <w:rPr>
          <w:rFonts w:hint="eastAsia" w:ascii="仿宋" w:hAnsi="仿宋" w:eastAsia="仿宋" w:cs="仿宋"/>
          <w:color w:val="auto"/>
          <w:sz w:val="32"/>
          <w:szCs w:val="32"/>
          <w:highlight w:val="none"/>
          <w:u w:val="none"/>
        </w:rPr>
        <w:t>深化医药卫生体制综合改革的深入，政府财政投入逐步加大</w:t>
      </w:r>
      <w:r>
        <w:rPr>
          <w:rFonts w:hint="eastAsia" w:ascii="仿宋" w:hAnsi="仿宋" w:eastAsia="仿宋" w:cs="仿宋"/>
          <w:color w:val="auto"/>
          <w:sz w:val="32"/>
          <w:highlight w:val="none"/>
          <w:u w:val="none"/>
        </w:rPr>
        <w:t>。</w:t>
      </w:r>
    </w:p>
    <w:p>
      <w:pPr>
        <w:snapToGrid w:val="0"/>
        <w:spacing w:line="560" w:lineRule="exact"/>
        <w:ind w:firstLine="643" w:firstLineChars="200"/>
        <w:rPr>
          <w:rFonts w:hint="eastAsia" w:ascii="仿宋" w:hAnsi="仿宋" w:eastAsia="仿宋" w:cs="仿宋"/>
          <w:b/>
          <w:bCs/>
          <w:color w:val="auto"/>
          <w:sz w:val="32"/>
          <w:szCs w:val="32"/>
          <w:highlight w:val="none"/>
          <w:u w:val="none"/>
        </w:rPr>
      </w:pPr>
      <w:r>
        <w:rPr>
          <w:rFonts w:hint="eastAsia" w:ascii="仿宋" w:hAnsi="仿宋" w:eastAsia="仿宋" w:cs="仿宋"/>
          <w:b/>
          <w:bCs/>
          <w:color w:val="auto"/>
          <w:sz w:val="32"/>
          <w:szCs w:val="32"/>
          <w:highlight w:val="none"/>
          <w:u w:val="none"/>
        </w:rPr>
        <w:t>（五）“三公”经费支出决算情况说明</w:t>
      </w:r>
    </w:p>
    <w:p>
      <w:pPr>
        <w:widowControl/>
        <w:spacing w:line="560" w:lineRule="exact"/>
        <w:ind w:firstLine="640" w:firstLineChars="200"/>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2017年度部门“三公”经费支出91.47万元，比预算减少3.89万元，比2016年度决算减少11.35万元。原因是认真贯彻落实中央、省、市关于厉行节约的各项要求，进一步严控“三公经费”开支。其中：因公出国（境）费0万元（本单位2017年度组织出国（境）团组0个，因公出国（境）人次数0人），与预算持平，与2016年度决算持平；公务用车购置及运行维护费89.99万元（公务用车购置数量0辆，购置金额0万元，公车运行维护费89.99万元，年末公务用车保有量</w:t>
      </w:r>
      <w:r>
        <w:rPr>
          <w:rFonts w:hint="eastAsia" w:ascii="仿宋" w:hAnsi="仿宋" w:eastAsia="仿宋" w:cs="仿宋"/>
          <w:color w:val="auto"/>
          <w:sz w:val="32"/>
          <w:szCs w:val="32"/>
          <w:highlight w:val="none"/>
          <w:u w:val="none"/>
          <w:lang w:val="en-US" w:eastAsia="zh-CN"/>
        </w:rPr>
        <w:t>26</w:t>
      </w:r>
      <w:r>
        <w:rPr>
          <w:rFonts w:hint="eastAsia" w:ascii="仿宋" w:hAnsi="仿宋" w:eastAsia="仿宋" w:cs="仿宋"/>
          <w:color w:val="auto"/>
          <w:sz w:val="32"/>
          <w:szCs w:val="32"/>
          <w:highlight w:val="none"/>
          <w:u w:val="none"/>
        </w:rPr>
        <w:t>辆），比预算减少2.56万元，比2016年度决算减少12.83万元，原因是认真贯彻落实中央、省、市关于厉行节约的各项要求，进一步严控“三公经费”开支；公务接待费1.48万元（2017年度国内公务接待</w:t>
      </w:r>
      <w:r>
        <w:rPr>
          <w:rFonts w:hint="eastAsia" w:ascii="仿宋" w:hAnsi="仿宋" w:eastAsia="仿宋" w:cs="仿宋"/>
          <w:color w:val="auto"/>
          <w:sz w:val="32"/>
          <w:szCs w:val="32"/>
          <w:highlight w:val="none"/>
          <w:u w:val="none"/>
          <w:lang w:val="en-US" w:eastAsia="zh-CN"/>
        </w:rPr>
        <w:t>22</w:t>
      </w:r>
      <w:r>
        <w:rPr>
          <w:rFonts w:hint="eastAsia" w:ascii="仿宋" w:hAnsi="仿宋" w:eastAsia="仿宋" w:cs="仿宋"/>
          <w:color w:val="auto"/>
          <w:sz w:val="32"/>
          <w:szCs w:val="32"/>
          <w:highlight w:val="none"/>
          <w:u w:val="none"/>
        </w:rPr>
        <w:t>批次，合计接待</w:t>
      </w:r>
      <w:r>
        <w:rPr>
          <w:rFonts w:hint="eastAsia" w:ascii="仿宋" w:hAnsi="仿宋" w:eastAsia="仿宋" w:cs="仿宋"/>
          <w:color w:val="auto"/>
          <w:sz w:val="32"/>
          <w:szCs w:val="32"/>
          <w:highlight w:val="none"/>
          <w:u w:val="none"/>
          <w:lang w:val="en-US" w:eastAsia="zh-CN"/>
        </w:rPr>
        <w:t>288</w:t>
      </w:r>
      <w:r>
        <w:rPr>
          <w:rFonts w:hint="eastAsia" w:ascii="仿宋" w:hAnsi="仿宋" w:eastAsia="仿宋" w:cs="仿宋"/>
          <w:color w:val="auto"/>
          <w:sz w:val="32"/>
          <w:szCs w:val="32"/>
          <w:highlight w:val="none"/>
          <w:u w:val="none"/>
        </w:rPr>
        <w:t>人次），比预算减少1.33万元，比2016年度决算增加1.48万元，原因是严格执行上级关于“三公经费”管理规定，控制各项不合理开支。</w:t>
      </w:r>
    </w:p>
    <w:p>
      <w:pPr>
        <w:snapToGrid w:val="0"/>
        <w:spacing w:line="560" w:lineRule="exact"/>
        <w:ind w:firstLine="643" w:firstLineChars="200"/>
        <w:rPr>
          <w:rFonts w:hint="eastAsia" w:ascii="仿宋" w:hAnsi="仿宋" w:eastAsia="仿宋" w:cs="仿宋"/>
          <w:b/>
          <w:bCs/>
          <w:color w:val="auto"/>
          <w:sz w:val="32"/>
          <w:szCs w:val="32"/>
          <w:highlight w:val="none"/>
          <w:u w:val="none"/>
        </w:rPr>
      </w:pPr>
      <w:r>
        <w:rPr>
          <w:rFonts w:hint="eastAsia" w:ascii="仿宋" w:hAnsi="仿宋" w:eastAsia="仿宋" w:cs="仿宋"/>
          <w:b/>
          <w:bCs/>
          <w:color w:val="auto"/>
          <w:sz w:val="32"/>
          <w:szCs w:val="32"/>
          <w:highlight w:val="none"/>
          <w:u w:val="none"/>
        </w:rPr>
        <w:t>（六）预算绩效管理工作开展情况说明</w:t>
      </w:r>
    </w:p>
    <w:p>
      <w:pPr>
        <w:autoSpaceDE w:val="0"/>
        <w:autoSpaceDN w:val="0"/>
        <w:snapToGrid w:val="0"/>
        <w:spacing w:line="560" w:lineRule="exact"/>
        <w:ind w:firstLine="643" w:firstLineChars="200"/>
        <w:rPr>
          <w:rFonts w:hint="eastAsia" w:ascii="仿宋" w:hAnsi="仿宋" w:eastAsia="仿宋" w:cs="仿宋"/>
          <w:b/>
          <w:bCs/>
          <w:color w:val="auto"/>
          <w:kern w:val="0"/>
          <w:sz w:val="32"/>
          <w:szCs w:val="32"/>
          <w:highlight w:val="none"/>
          <w:u w:val="none"/>
          <w:shd w:val="clear" w:color="auto" w:fill="FFFFFF"/>
        </w:rPr>
      </w:pPr>
      <w:r>
        <w:rPr>
          <w:rFonts w:hint="eastAsia" w:ascii="仿宋" w:hAnsi="仿宋" w:eastAsia="仿宋" w:cs="仿宋"/>
          <w:b/>
          <w:bCs/>
          <w:color w:val="auto"/>
          <w:kern w:val="0"/>
          <w:sz w:val="32"/>
          <w:szCs w:val="32"/>
          <w:highlight w:val="none"/>
          <w:u w:val="none"/>
          <w:shd w:val="clear" w:color="auto" w:fill="FFFFFF"/>
        </w:rPr>
        <w:t>1、预算绩效管理工作开展情况</w:t>
      </w:r>
    </w:p>
    <w:p>
      <w:pPr>
        <w:autoSpaceDE w:val="0"/>
        <w:autoSpaceDN w:val="0"/>
        <w:snapToGrid w:val="0"/>
        <w:spacing w:line="560" w:lineRule="exact"/>
        <w:ind w:firstLine="640" w:firstLineChars="200"/>
        <w:rPr>
          <w:rFonts w:hint="eastAsia" w:ascii="仿宋" w:hAnsi="仿宋" w:eastAsia="仿宋" w:cs="仿宋"/>
          <w:color w:val="auto"/>
          <w:kern w:val="0"/>
          <w:sz w:val="32"/>
          <w:szCs w:val="32"/>
          <w:highlight w:val="none"/>
          <w:u w:val="none"/>
          <w:shd w:val="clear" w:color="auto" w:fill="FFFFFF"/>
        </w:rPr>
      </w:pPr>
      <w:r>
        <w:rPr>
          <w:rFonts w:hint="eastAsia" w:ascii="仿宋" w:hAnsi="仿宋" w:eastAsia="仿宋" w:cs="仿宋"/>
          <w:color w:val="auto"/>
          <w:kern w:val="0"/>
          <w:sz w:val="32"/>
          <w:szCs w:val="32"/>
          <w:highlight w:val="none"/>
          <w:u w:val="none"/>
          <w:shd w:val="clear" w:color="auto" w:fill="FFFFFF"/>
        </w:rPr>
        <w:t>本部门对2017年公共卫生、医疗救治、</w:t>
      </w:r>
      <w:r>
        <w:rPr>
          <w:rFonts w:hint="eastAsia" w:ascii="仿宋" w:hAnsi="仿宋" w:eastAsia="仿宋" w:cs="仿宋"/>
          <w:color w:val="auto"/>
          <w:sz w:val="32"/>
          <w:szCs w:val="32"/>
          <w:highlight w:val="none"/>
          <w:u w:val="none"/>
        </w:rPr>
        <w:t>建立卫生计生人才培训基地，开展医学技术跟踪和适宜技术推广</w:t>
      </w:r>
      <w:r>
        <w:rPr>
          <w:rFonts w:hint="eastAsia" w:ascii="仿宋" w:hAnsi="仿宋" w:eastAsia="仿宋" w:cs="仿宋"/>
          <w:color w:val="auto"/>
          <w:kern w:val="0"/>
          <w:sz w:val="32"/>
          <w:szCs w:val="32"/>
          <w:highlight w:val="none"/>
          <w:u w:val="none"/>
          <w:shd w:val="clear" w:color="auto" w:fill="FFFFFF"/>
        </w:rPr>
        <w:t>等工作进行了绩效评价。</w:t>
      </w:r>
    </w:p>
    <w:p>
      <w:pPr>
        <w:autoSpaceDE w:val="0"/>
        <w:autoSpaceDN w:val="0"/>
        <w:snapToGrid w:val="0"/>
        <w:spacing w:line="560" w:lineRule="exact"/>
        <w:ind w:firstLine="643" w:firstLineChars="200"/>
        <w:rPr>
          <w:rFonts w:hint="eastAsia" w:ascii="仿宋" w:hAnsi="仿宋" w:eastAsia="仿宋" w:cs="仿宋"/>
          <w:b/>
          <w:bCs/>
          <w:color w:val="auto"/>
          <w:kern w:val="0"/>
          <w:sz w:val="32"/>
          <w:szCs w:val="32"/>
          <w:highlight w:val="none"/>
          <w:u w:val="none"/>
          <w:shd w:val="clear" w:color="auto" w:fill="FFFFFF"/>
        </w:rPr>
      </w:pPr>
      <w:r>
        <w:rPr>
          <w:rFonts w:hint="eastAsia" w:ascii="仿宋" w:hAnsi="仿宋" w:eastAsia="仿宋" w:cs="仿宋"/>
          <w:b/>
          <w:bCs/>
          <w:color w:val="auto"/>
          <w:kern w:val="0"/>
          <w:sz w:val="32"/>
          <w:szCs w:val="32"/>
          <w:highlight w:val="none"/>
          <w:u w:val="none"/>
          <w:shd w:val="clear" w:color="auto" w:fill="FFFFFF"/>
        </w:rPr>
        <w:t>2、预算项目绩效评价开展情况</w:t>
      </w:r>
    </w:p>
    <w:p>
      <w:pPr>
        <w:autoSpaceDE w:val="0"/>
        <w:autoSpaceDN w:val="0"/>
        <w:snapToGrid w:val="0"/>
        <w:spacing w:line="560" w:lineRule="exact"/>
        <w:ind w:firstLine="640" w:firstLineChars="200"/>
        <w:rPr>
          <w:rFonts w:hint="eastAsia" w:ascii="仿宋" w:hAnsi="仿宋" w:eastAsia="仿宋" w:cs="仿宋"/>
          <w:color w:val="auto"/>
          <w:kern w:val="0"/>
          <w:sz w:val="32"/>
          <w:szCs w:val="32"/>
          <w:highlight w:val="none"/>
          <w:u w:val="none"/>
          <w:shd w:val="clear" w:color="auto" w:fill="FFFFFF"/>
        </w:rPr>
      </w:pPr>
      <w:r>
        <w:rPr>
          <w:rFonts w:hint="eastAsia" w:ascii="仿宋" w:hAnsi="仿宋" w:eastAsia="仿宋" w:cs="仿宋"/>
          <w:color w:val="auto"/>
          <w:kern w:val="0"/>
          <w:sz w:val="32"/>
          <w:szCs w:val="32"/>
          <w:highlight w:val="none"/>
          <w:u w:val="none"/>
          <w:shd w:val="clear" w:color="auto" w:fill="FFFFFF"/>
        </w:rPr>
        <w:t>针对工作中可能出现的问题和执行情况进行了分类打分，优化整顿，评价的结果是使各项工作更加完善合理，提高了工作效率。</w:t>
      </w:r>
    </w:p>
    <w:p>
      <w:pPr>
        <w:snapToGrid w:val="0"/>
        <w:spacing w:line="560" w:lineRule="exact"/>
        <w:ind w:firstLine="643" w:firstLineChars="200"/>
        <w:rPr>
          <w:rFonts w:hint="eastAsia" w:ascii="仿宋" w:hAnsi="仿宋" w:eastAsia="仿宋" w:cs="仿宋"/>
          <w:b/>
          <w:bCs/>
          <w:color w:val="auto"/>
          <w:sz w:val="32"/>
          <w:szCs w:val="32"/>
          <w:highlight w:val="none"/>
          <w:u w:val="none"/>
        </w:rPr>
      </w:pPr>
      <w:r>
        <w:rPr>
          <w:rFonts w:hint="eastAsia" w:ascii="仿宋" w:hAnsi="仿宋" w:eastAsia="仿宋" w:cs="仿宋"/>
          <w:b/>
          <w:bCs/>
          <w:color w:val="auto"/>
          <w:sz w:val="32"/>
          <w:szCs w:val="32"/>
          <w:highlight w:val="none"/>
          <w:u w:val="none"/>
        </w:rPr>
        <w:t>（七）其他重要事项的说明</w:t>
      </w:r>
    </w:p>
    <w:p>
      <w:pPr>
        <w:widowControl/>
        <w:spacing w:line="560" w:lineRule="exact"/>
        <w:ind w:firstLine="643" w:firstLineChars="200"/>
        <w:rPr>
          <w:rFonts w:hint="eastAsia" w:ascii="仿宋" w:hAnsi="仿宋" w:eastAsia="仿宋" w:cs="仿宋"/>
          <w:color w:val="auto"/>
          <w:sz w:val="32"/>
          <w:szCs w:val="32"/>
          <w:highlight w:val="none"/>
          <w:u w:val="none"/>
        </w:rPr>
      </w:pPr>
      <w:r>
        <w:rPr>
          <w:rFonts w:hint="eastAsia" w:ascii="仿宋" w:hAnsi="仿宋" w:eastAsia="仿宋" w:cs="仿宋"/>
          <w:b/>
          <w:bCs/>
          <w:color w:val="auto"/>
          <w:sz w:val="32"/>
          <w:szCs w:val="32"/>
          <w:highlight w:val="none"/>
          <w:u w:val="none"/>
        </w:rPr>
        <w:t>1、机关运行经费情况：</w:t>
      </w:r>
      <w:r>
        <w:rPr>
          <w:rFonts w:hint="eastAsia" w:ascii="仿宋" w:hAnsi="仿宋" w:eastAsia="仿宋" w:cs="仿宋"/>
          <w:color w:val="auto"/>
          <w:sz w:val="32"/>
          <w:szCs w:val="32"/>
          <w:highlight w:val="none"/>
          <w:u w:val="none"/>
        </w:rPr>
        <w:t>2017年度部门机关运行经费支出208.85万元，比2016年度减少314.72万元，</w:t>
      </w:r>
      <w:r>
        <w:rPr>
          <w:rFonts w:hint="eastAsia" w:ascii="仿宋" w:hAnsi="仿宋" w:eastAsia="仿宋" w:cs="仿宋"/>
          <w:color w:val="auto"/>
          <w:sz w:val="32"/>
          <w:highlight w:val="none"/>
          <w:u w:val="none"/>
        </w:rPr>
        <w:t>下降60</w:t>
      </w:r>
      <w:r>
        <w:rPr>
          <w:rFonts w:hint="eastAsia" w:ascii="仿宋" w:hAnsi="仿宋" w:eastAsia="仿宋" w:cs="仿宋"/>
          <w:color w:val="auto"/>
          <w:sz w:val="32"/>
          <w:highlight w:val="none"/>
          <w:u w:val="none"/>
          <w:lang w:val="en-US" w:eastAsia="zh-CN"/>
        </w:rPr>
        <w:t>.11</w:t>
      </w:r>
      <w:r>
        <w:rPr>
          <w:rFonts w:hint="eastAsia" w:ascii="仿宋" w:hAnsi="仿宋" w:eastAsia="仿宋" w:cs="仿宋"/>
          <w:color w:val="auto"/>
          <w:sz w:val="32"/>
          <w:highlight w:val="none"/>
          <w:u w:val="none"/>
        </w:rPr>
        <w:t>%。主要</w:t>
      </w:r>
      <w:r>
        <w:rPr>
          <w:rFonts w:hint="eastAsia" w:ascii="仿宋" w:hAnsi="仿宋" w:eastAsia="仿宋" w:cs="仿宋"/>
          <w:color w:val="auto"/>
          <w:sz w:val="32"/>
          <w:szCs w:val="32"/>
          <w:highlight w:val="none"/>
          <w:u w:val="none"/>
        </w:rPr>
        <w:t>原因是</w:t>
      </w:r>
      <w:r>
        <w:rPr>
          <w:rFonts w:hint="eastAsia" w:ascii="仿宋" w:hAnsi="仿宋" w:eastAsia="仿宋" w:cs="仿宋"/>
          <w:color w:val="auto"/>
          <w:kern w:val="0"/>
          <w:sz w:val="32"/>
          <w:szCs w:val="32"/>
          <w:highlight w:val="none"/>
          <w:u w:val="none"/>
        </w:rPr>
        <w:t>例行勤俭节约，通过整改杜绝各种不合理开支</w:t>
      </w:r>
      <w:r>
        <w:rPr>
          <w:rFonts w:hint="eastAsia" w:ascii="仿宋" w:hAnsi="仿宋" w:eastAsia="仿宋" w:cs="仿宋"/>
          <w:color w:val="auto"/>
          <w:sz w:val="32"/>
          <w:szCs w:val="32"/>
          <w:highlight w:val="none"/>
          <w:u w:val="none"/>
        </w:rPr>
        <w:t>。</w:t>
      </w:r>
    </w:p>
    <w:p>
      <w:pPr>
        <w:autoSpaceDE w:val="0"/>
        <w:autoSpaceDN w:val="0"/>
        <w:snapToGrid w:val="0"/>
        <w:spacing w:line="560" w:lineRule="exact"/>
        <w:ind w:firstLine="643" w:firstLineChars="200"/>
        <w:rPr>
          <w:rFonts w:hint="eastAsia" w:ascii="仿宋" w:hAnsi="仿宋" w:eastAsia="仿宋" w:cs="仿宋"/>
          <w:color w:val="auto"/>
          <w:kern w:val="0"/>
          <w:sz w:val="32"/>
          <w:szCs w:val="32"/>
          <w:highlight w:val="none"/>
          <w:u w:val="none"/>
          <w:shd w:val="clear" w:color="auto" w:fill="FFFFFF"/>
        </w:rPr>
      </w:pPr>
      <w:r>
        <w:rPr>
          <w:rFonts w:hint="eastAsia" w:ascii="仿宋" w:hAnsi="仿宋" w:eastAsia="仿宋" w:cs="仿宋"/>
          <w:b/>
          <w:bCs/>
          <w:color w:val="auto"/>
          <w:sz w:val="32"/>
          <w:szCs w:val="32"/>
          <w:highlight w:val="none"/>
          <w:u w:val="none"/>
        </w:rPr>
        <w:t>2、政府采购情况：</w:t>
      </w:r>
      <w:r>
        <w:rPr>
          <w:rFonts w:hint="eastAsia" w:ascii="仿宋" w:hAnsi="仿宋" w:eastAsia="仿宋" w:cs="仿宋"/>
          <w:color w:val="auto"/>
          <w:kern w:val="0"/>
          <w:sz w:val="32"/>
          <w:szCs w:val="32"/>
          <w:highlight w:val="none"/>
          <w:u w:val="none"/>
          <w:shd w:val="clear" w:color="auto" w:fill="FFFFFF"/>
        </w:rPr>
        <w:t>2017年度部门政府采购支出</w:t>
      </w:r>
      <w:r>
        <w:rPr>
          <w:rFonts w:hint="eastAsia" w:ascii="仿宋" w:hAnsi="仿宋" w:eastAsia="仿宋" w:cs="仿宋"/>
          <w:color w:val="auto"/>
          <w:sz w:val="32"/>
          <w:szCs w:val="32"/>
          <w:highlight w:val="none"/>
          <w:u w:val="none"/>
        </w:rPr>
        <w:t>1283.9</w:t>
      </w:r>
      <w:r>
        <w:rPr>
          <w:rFonts w:hint="eastAsia" w:ascii="仿宋" w:hAnsi="仿宋" w:eastAsia="仿宋" w:cs="仿宋"/>
          <w:color w:val="auto"/>
          <w:kern w:val="0"/>
          <w:sz w:val="32"/>
          <w:szCs w:val="32"/>
          <w:highlight w:val="none"/>
          <w:u w:val="none"/>
          <w:shd w:val="clear" w:color="auto" w:fill="FFFFFF"/>
        </w:rPr>
        <w:t>万元，其中：政府采购货物支出</w:t>
      </w:r>
      <w:r>
        <w:rPr>
          <w:rFonts w:hint="eastAsia" w:ascii="仿宋" w:hAnsi="仿宋" w:eastAsia="仿宋" w:cs="仿宋"/>
          <w:color w:val="auto"/>
          <w:sz w:val="32"/>
          <w:szCs w:val="32"/>
          <w:highlight w:val="none"/>
          <w:u w:val="none"/>
        </w:rPr>
        <w:t>1220.24</w:t>
      </w:r>
      <w:r>
        <w:rPr>
          <w:rFonts w:hint="eastAsia" w:ascii="仿宋" w:hAnsi="仿宋" w:eastAsia="仿宋" w:cs="仿宋"/>
          <w:color w:val="auto"/>
          <w:kern w:val="0"/>
          <w:sz w:val="32"/>
          <w:szCs w:val="32"/>
          <w:highlight w:val="none"/>
          <w:u w:val="none"/>
          <w:shd w:val="clear" w:color="auto" w:fill="FFFFFF"/>
        </w:rPr>
        <w:t>万元，政府采购工程支出</w:t>
      </w:r>
      <w:r>
        <w:rPr>
          <w:rFonts w:hint="eastAsia" w:ascii="仿宋" w:hAnsi="仿宋" w:eastAsia="仿宋" w:cs="仿宋"/>
          <w:color w:val="auto"/>
          <w:sz w:val="32"/>
          <w:szCs w:val="32"/>
          <w:highlight w:val="none"/>
          <w:u w:val="none"/>
        </w:rPr>
        <w:t>63.66</w:t>
      </w:r>
      <w:r>
        <w:rPr>
          <w:rFonts w:hint="eastAsia" w:ascii="仿宋" w:hAnsi="仿宋" w:eastAsia="仿宋" w:cs="仿宋"/>
          <w:color w:val="auto"/>
          <w:kern w:val="0"/>
          <w:sz w:val="32"/>
          <w:szCs w:val="32"/>
          <w:highlight w:val="none"/>
          <w:u w:val="none"/>
          <w:shd w:val="clear" w:color="auto" w:fill="FFFFFF"/>
        </w:rPr>
        <w:t>万元，政府采购服务支出</w:t>
      </w:r>
      <w:r>
        <w:rPr>
          <w:rFonts w:hint="eastAsia" w:ascii="仿宋" w:hAnsi="仿宋" w:eastAsia="仿宋" w:cs="仿宋"/>
          <w:color w:val="auto"/>
          <w:sz w:val="32"/>
          <w:szCs w:val="32"/>
          <w:highlight w:val="none"/>
          <w:u w:val="none"/>
        </w:rPr>
        <w:t>0</w:t>
      </w:r>
      <w:r>
        <w:rPr>
          <w:rFonts w:hint="eastAsia" w:ascii="仿宋" w:hAnsi="仿宋" w:eastAsia="仿宋" w:cs="仿宋"/>
          <w:color w:val="auto"/>
          <w:kern w:val="0"/>
          <w:sz w:val="32"/>
          <w:szCs w:val="32"/>
          <w:highlight w:val="none"/>
          <w:u w:val="none"/>
          <w:shd w:val="clear" w:color="auto" w:fill="FFFFFF"/>
        </w:rPr>
        <w:t>万元。</w:t>
      </w:r>
    </w:p>
    <w:tbl>
      <w:tblPr>
        <w:tblStyle w:val="4"/>
        <w:tblW w:w="8534" w:type="dxa"/>
        <w:tblInd w:w="0" w:type="dxa"/>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2262"/>
        <w:gridCol w:w="1045"/>
        <w:gridCol w:w="1045"/>
        <w:gridCol w:w="1045"/>
        <w:gridCol w:w="1045"/>
        <w:gridCol w:w="1047"/>
        <w:gridCol w:w="1045"/>
      </w:tblGrid>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1" w:hRule="atLeast"/>
        </w:trPr>
        <w:tc>
          <w:tcPr>
            <w:tcW w:w="2262" w:type="dxa"/>
            <w:vMerge w:val="restart"/>
            <w:tcBorders>
              <w:top w:val="double" w:color="000000" w:sz="4" w:space="0"/>
            </w:tcBorders>
            <w:vAlign w:val="center"/>
          </w:tcPr>
          <w:p>
            <w:pPr>
              <w:widowControl/>
              <w:jc w:val="center"/>
              <w:textAlignment w:val="center"/>
              <w:rPr>
                <w:rFonts w:hint="eastAsia" w:ascii="仿宋" w:hAnsi="仿宋" w:eastAsia="仿宋" w:cs="仿宋"/>
                <w:color w:val="auto"/>
                <w:sz w:val="22"/>
                <w:szCs w:val="22"/>
                <w:highlight w:val="none"/>
                <w:u w:val="none"/>
              </w:rPr>
            </w:pPr>
            <w:r>
              <w:rPr>
                <w:rFonts w:hint="eastAsia" w:ascii="仿宋" w:hAnsi="仿宋" w:eastAsia="仿宋" w:cs="仿宋"/>
                <w:color w:val="auto"/>
                <w:kern w:val="0"/>
                <w:sz w:val="22"/>
                <w:szCs w:val="22"/>
                <w:highlight w:val="none"/>
                <w:u w:val="none"/>
              </w:rPr>
              <w:t>项目</w:t>
            </w:r>
          </w:p>
        </w:tc>
        <w:tc>
          <w:tcPr>
            <w:tcW w:w="6272" w:type="dxa"/>
            <w:gridSpan w:val="6"/>
            <w:tcBorders>
              <w:top w:val="double" w:color="000000" w:sz="4" w:space="0"/>
            </w:tcBorders>
            <w:vAlign w:val="center"/>
          </w:tcPr>
          <w:p>
            <w:pPr>
              <w:widowControl/>
              <w:jc w:val="center"/>
              <w:textAlignment w:val="center"/>
              <w:rPr>
                <w:rFonts w:hint="eastAsia" w:ascii="仿宋" w:hAnsi="仿宋" w:eastAsia="仿宋" w:cs="仿宋"/>
                <w:color w:val="auto"/>
                <w:sz w:val="22"/>
                <w:szCs w:val="22"/>
                <w:highlight w:val="none"/>
                <w:u w:val="none"/>
              </w:rPr>
            </w:pPr>
            <w:r>
              <w:rPr>
                <w:rFonts w:hint="eastAsia" w:ascii="仿宋" w:hAnsi="仿宋" w:eastAsia="仿宋" w:cs="仿宋"/>
                <w:color w:val="auto"/>
                <w:kern w:val="0"/>
                <w:sz w:val="22"/>
                <w:szCs w:val="22"/>
                <w:highlight w:val="none"/>
                <w:u w:val="none"/>
              </w:rPr>
              <w:t>实际采购金额</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1" w:hRule="atLeast"/>
        </w:trPr>
        <w:tc>
          <w:tcPr>
            <w:tcW w:w="2262" w:type="dxa"/>
            <w:vMerge w:val="continue"/>
            <w:vAlign w:val="center"/>
          </w:tcPr>
          <w:p>
            <w:pPr>
              <w:jc w:val="center"/>
              <w:rPr>
                <w:rFonts w:hint="eastAsia" w:ascii="仿宋" w:hAnsi="仿宋" w:eastAsia="仿宋" w:cs="仿宋"/>
                <w:color w:val="auto"/>
                <w:sz w:val="22"/>
                <w:szCs w:val="22"/>
                <w:highlight w:val="none"/>
                <w:u w:val="none"/>
              </w:rPr>
            </w:pPr>
          </w:p>
        </w:tc>
        <w:tc>
          <w:tcPr>
            <w:tcW w:w="1045" w:type="dxa"/>
            <w:vMerge w:val="restart"/>
            <w:vAlign w:val="center"/>
          </w:tcPr>
          <w:p>
            <w:pPr>
              <w:widowControl/>
              <w:jc w:val="center"/>
              <w:textAlignment w:val="center"/>
              <w:rPr>
                <w:rFonts w:hint="eastAsia" w:ascii="仿宋" w:hAnsi="仿宋" w:eastAsia="仿宋" w:cs="仿宋"/>
                <w:color w:val="auto"/>
                <w:sz w:val="22"/>
                <w:szCs w:val="22"/>
                <w:highlight w:val="none"/>
                <w:u w:val="none"/>
              </w:rPr>
            </w:pPr>
            <w:r>
              <w:rPr>
                <w:rFonts w:hint="eastAsia" w:ascii="仿宋" w:hAnsi="仿宋" w:eastAsia="仿宋" w:cs="仿宋"/>
                <w:color w:val="auto"/>
                <w:kern w:val="0"/>
                <w:sz w:val="22"/>
                <w:szCs w:val="22"/>
                <w:highlight w:val="none"/>
                <w:u w:val="none"/>
              </w:rPr>
              <w:t>总计</w:t>
            </w:r>
          </w:p>
        </w:tc>
        <w:tc>
          <w:tcPr>
            <w:tcW w:w="4182" w:type="dxa"/>
            <w:gridSpan w:val="4"/>
            <w:vAlign w:val="center"/>
          </w:tcPr>
          <w:p>
            <w:pPr>
              <w:widowControl/>
              <w:jc w:val="center"/>
              <w:textAlignment w:val="center"/>
              <w:rPr>
                <w:rFonts w:hint="eastAsia" w:ascii="仿宋" w:hAnsi="仿宋" w:eastAsia="仿宋" w:cs="仿宋"/>
                <w:color w:val="auto"/>
                <w:sz w:val="22"/>
                <w:szCs w:val="22"/>
                <w:highlight w:val="none"/>
                <w:u w:val="none"/>
              </w:rPr>
            </w:pPr>
            <w:r>
              <w:rPr>
                <w:rFonts w:hint="eastAsia" w:ascii="仿宋" w:hAnsi="仿宋" w:eastAsia="仿宋" w:cs="仿宋"/>
                <w:color w:val="auto"/>
                <w:kern w:val="0"/>
                <w:sz w:val="22"/>
                <w:szCs w:val="22"/>
                <w:highlight w:val="none"/>
                <w:u w:val="none"/>
              </w:rPr>
              <w:t>采购预算(财政性资金)</w:t>
            </w:r>
          </w:p>
        </w:tc>
        <w:tc>
          <w:tcPr>
            <w:tcW w:w="1045" w:type="dxa"/>
            <w:vMerge w:val="restart"/>
            <w:vAlign w:val="center"/>
          </w:tcPr>
          <w:p>
            <w:pPr>
              <w:widowControl/>
              <w:jc w:val="center"/>
              <w:textAlignment w:val="center"/>
              <w:rPr>
                <w:rFonts w:hint="eastAsia" w:ascii="仿宋" w:hAnsi="仿宋" w:eastAsia="仿宋" w:cs="仿宋"/>
                <w:color w:val="auto"/>
                <w:sz w:val="22"/>
                <w:szCs w:val="22"/>
                <w:highlight w:val="none"/>
                <w:u w:val="none"/>
              </w:rPr>
            </w:pPr>
            <w:r>
              <w:rPr>
                <w:rFonts w:hint="eastAsia" w:ascii="仿宋" w:hAnsi="仿宋" w:eastAsia="仿宋" w:cs="仿宋"/>
                <w:color w:val="auto"/>
                <w:kern w:val="0"/>
                <w:sz w:val="22"/>
                <w:szCs w:val="22"/>
                <w:highlight w:val="none"/>
                <w:u w:val="none"/>
              </w:rPr>
              <w:t>非财政性资金</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1" w:hRule="atLeast"/>
        </w:trPr>
        <w:tc>
          <w:tcPr>
            <w:tcW w:w="2262" w:type="dxa"/>
            <w:vMerge w:val="continue"/>
            <w:vAlign w:val="center"/>
          </w:tcPr>
          <w:p>
            <w:pPr>
              <w:jc w:val="center"/>
              <w:rPr>
                <w:rFonts w:hint="eastAsia" w:ascii="仿宋" w:hAnsi="仿宋" w:eastAsia="仿宋" w:cs="仿宋"/>
                <w:color w:val="auto"/>
                <w:sz w:val="22"/>
                <w:szCs w:val="22"/>
                <w:highlight w:val="none"/>
                <w:u w:val="none"/>
              </w:rPr>
            </w:pPr>
          </w:p>
        </w:tc>
        <w:tc>
          <w:tcPr>
            <w:tcW w:w="1045" w:type="dxa"/>
            <w:vMerge w:val="continue"/>
            <w:vAlign w:val="center"/>
          </w:tcPr>
          <w:p>
            <w:pPr>
              <w:jc w:val="center"/>
              <w:rPr>
                <w:rFonts w:hint="eastAsia" w:ascii="仿宋" w:hAnsi="仿宋" w:eastAsia="仿宋" w:cs="仿宋"/>
                <w:color w:val="auto"/>
                <w:sz w:val="22"/>
                <w:szCs w:val="22"/>
                <w:highlight w:val="none"/>
                <w:u w:val="none"/>
              </w:rPr>
            </w:pPr>
          </w:p>
        </w:tc>
        <w:tc>
          <w:tcPr>
            <w:tcW w:w="1045" w:type="dxa"/>
            <w:vAlign w:val="center"/>
          </w:tcPr>
          <w:p>
            <w:pPr>
              <w:widowControl/>
              <w:jc w:val="center"/>
              <w:textAlignment w:val="center"/>
              <w:rPr>
                <w:rFonts w:hint="eastAsia" w:ascii="仿宋" w:hAnsi="仿宋" w:eastAsia="仿宋" w:cs="仿宋"/>
                <w:color w:val="auto"/>
                <w:sz w:val="22"/>
                <w:szCs w:val="22"/>
                <w:highlight w:val="none"/>
                <w:u w:val="none"/>
              </w:rPr>
            </w:pPr>
            <w:r>
              <w:rPr>
                <w:rFonts w:hint="eastAsia" w:ascii="仿宋" w:hAnsi="仿宋" w:eastAsia="仿宋" w:cs="仿宋"/>
                <w:color w:val="auto"/>
                <w:kern w:val="0"/>
                <w:sz w:val="22"/>
                <w:szCs w:val="22"/>
                <w:highlight w:val="none"/>
                <w:u w:val="none"/>
              </w:rPr>
              <w:t>合计</w:t>
            </w:r>
          </w:p>
        </w:tc>
        <w:tc>
          <w:tcPr>
            <w:tcW w:w="1045" w:type="dxa"/>
            <w:vAlign w:val="center"/>
          </w:tcPr>
          <w:p>
            <w:pPr>
              <w:widowControl/>
              <w:jc w:val="center"/>
              <w:textAlignment w:val="center"/>
              <w:rPr>
                <w:rFonts w:hint="eastAsia" w:ascii="仿宋" w:hAnsi="仿宋" w:eastAsia="仿宋" w:cs="仿宋"/>
                <w:color w:val="auto"/>
                <w:sz w:val="22"/>
                <w:szCs w:val="22"/>
                <w:highlight w:val="none"/>
                <w:u w:val="none"/>
              </w:rPr>
            </w:pPr>
            <w:r>
              <w:rPr>
                <w:rFonts w:hint="eastAsia" w:ascii="仿宋" w:hAnsi="仿宋" w:eastAsia="仿宋" w:cs="仿宋"/>
                <w:color w:val="auto"/>
                <w:kern w:val="0"/>
                <w:sz w:val="22"/>
                <w:szCs w:val="22"/>
                <w:highlight w:val="none"/>
                <w:u w:val="none"/>
              </w:rPr>
              <w:t>一般公共预算</w:t>
            </w:r>
          </w:p>
        </w:tc>
        <w:tc>
          <w:tcPr>
            <w:tcW w:w="1045" w:type="dxa"/>
            <w:vAlign w:val="center"/>
          </w:tcPr>
          <w:p>
            <w:pPr>
              <w:widowControl/>
              <w:jc w:val="center"/>
              <w:textAlignment w:val="center"/>
              <w:rPr>
                <w:rFonts w:hint="eastAsia" w:ascii="仿宋" w:hAnsi="仿宋" w:eastAsia="仿宋" w:cs="仿宋"/>
                <w:color w:val="auto"/>
                <w:sz w:val="22"/>
                <w:szCs w:val="22"/>
                <w:highlight w:val="none"/>
                <w:u w:val="none"/>
              </w:rPr>
            </w:pPr>
            <w:r>
              <w:rPr>
                <w:rFonts w:hint="eastAsia" w:ascii="仿宋" w:hAnsi="仿宋" w:eastAsia="仿宋" w:cs="仿宋"/>
                <w:color w:val="auto"/>
                <w:kern w:val="0"/>
                <w:sz w:val="22"/>
                <w:szCs w:val="22"/>
                <w:highlight w:val="none"/>
                <w:u w:val="none"/>
              </w:rPr>
              <w:t>政府性基金预算</w:t>
            </w:r>
          </w:p>
        </w:tc>
        <w:tc>
          <w:tcPr>
            <w:tcW w:w="1047" w:type="dxa"/>
            <w:vAlign w:val="center"/>
          </w:tcPr>
          <w:p>
            <w:pPr>
              <w:widowControl/>
              <w:jc w:val="center"/>
              <w:textAlignment w:val="center"/>
              <w:rPr>
                <w:rFonts w:hint="eastAsia" w:ascii="仿宋" w:hAnsi="仿宋" w:eastAsia="仿宋" w:cs="仿宋"/>
                <w:color w:val="auto"/>
                <w:sz w:val="22"/>
                <w:szCs w:val="22"/>
                <w:highlight w:val="none"/>
                <w:u w:val="none"/>
              </w:rPr>
            </w:pPr>
            <w:r>
              <w:rPr>
                <w:rFonts w:hint="eastAsia" w:ascii="仿宋" w:hAnsi="仿宋" w:eastAsia="仿宋" w:cs="仿宋"/>
                <w:color w:val="auto"/>
                <w:kern w:val="0"/>
                <w:sz w:val="22"/>
                <w:szCs w:val="22"/>
                <w:highlight w:val="none"/>
                <w:u w:val="none"/>
              </w:rPr>
              <w:t>其他资金</w:t>
            </w:r>
          </w:p>
        </w:tc>
        <w:tc>
          <w:tcPr>
            <w:tcW w:w="1045" w:type="dxa"/>
            <w:vMerge w:val="continue"/>
            <w:vAlign w:val="center"/>
          </w:tcPr>
          <w:p>
            <w:pPr>
              <w:jc w:val="center"/>
              <w:rPr>
                <w:rFonts w:hint="eastAsia" w:ascii="仿宋" w:hAnsi="仿宋" w:eastAsia="仿宋" w:cs="仿宋"/>
                <w:color w:val="auto"/>
                <w:sz w:val="22"/>
                <w:szCs w:val="22"/>
                <w:highlight w:val="none"/>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1" w:hRule="atLeast"/>
        </w:trPr>
        <w:tc>
          <w:tcPr>
            <w:tcW w:w="2262" w:type="dxa"/>
            <w:vAlign w:val="center"/>
          </w:tcPr>
          <w:p>
            <w:pPr>
              <w:widowControl/>
              <w:jc w:val="center"/>
              <w:textAlignment w:val="center"/>
              <w:rPr>
                <w:rFonts w:hint="eastAsia" w:ascii="仿宋" w:hAnsi="仿宋" w:eastAsia="仿宋" w:cs="仿宋"/>
                <w:color w:val="auto"/>
                <w:sz w:val="22"/>
                <w:szCs w:val="22"/>
                <w:highlight w:val="none"/>
                <w:u w:val="none"/>
              </w:rPr>
            </w:pPr>
            <w:r>
              <w:rPr>
                <w:rFonts w:hint="eastAsia" w:ascii="仿宋" w:hAnsi="仿宋" w:eastAsia="仿宋" w:cs="仿宋"/>
                <w:color w:val="auto"/>
                <w:kern w:val="0"/>
                <w:sz w:val="22"/>
                <w:szCs w:val="22"/>
                <w:highlight w:val="none"/>
                <w:u w:val="none"/>
              </w:rPr>
              <w:t>栏次</w:t>
            </w:r>
          </w:p>
        </w:tc>
        <w:tc>
          <w:tcPr>
            <w:tcW w:w="1045" w:type="dxa"/>
            <w:vAlign w:val="center"/>
          </w:tcPr>
          <w:p>
            <w:pPr>
              <w:widowControl/>
              <w:jc w:val="center"/>
              <w:textAlignment w:val="center"/>
              <w:rPr>
                <w:rFonts w:hint="eastAsia" w:ascii="仿宋" w:hAnsi="仿宋" w:eastAsia="仿宋" w:cs="仿宋"/>
                <w:color w:val="auto"/>
                <w:sz w:val="22"/>
                <w:szCs w:val="22"/>
                <w:highlight w:val="none"/>
                <w:u w:val="none"/>
              </w:rPr>
            </w:pPr>
            <w:r>
              <w:rPr>
                <w:rFonts w:hint="eastAsia" w:ascii="仿宋" w:hAnsi="仿宋" w:eastAsia="仿宋" w:cs="仿宋"/>
                <w:color w:val="auto"/>
                <w:kern w:val="0"/>
                <w:sz w:val="22"/>
                <w:szCs w:val="22"/>
                <w:highlight w:val="none"/>
                <w:u w:val="none"/>
              </w:rPr>
              <w:t>1</w:t>
            </w:r>
          </w:p>
        </w:tc>
        <w:tc>
          <w:tcPr>
            <w:tcW w:w="1045" w:type="dxa"/>
            <w:vAlign w:val="center"/>
          </w:tcPr>
          <w:p>
            <w:pPr>
              <w:widowControl/>
              <w:jc w:val="center"/>
              <w:textAlignment w:val="center"/>
              <w:rPr>
                <w:rFonts w:hint="eastAsia" w:ascii="仿宋" w:hAnsi="仿宋" w:eastAsia="仿宋" w:cs="仿宋"/>
                <w:color w:val="auto"/>
                <w:sz w:val="22"/>
                <w:szCs w:val="22"/>
                <w:highlight w:val="none"/>
                <w:u w:val="none"/>
              </w:rPr>
            </w:pPr>
            <w:r>
              <w:rPr>
                <w:rFonts w:hint="eastAsia" w:ascii="仿宋" w:hAnsi="仿宋" w:eastAsia="仿宋" w:cs="仿宋"/>
                <w:color w:val="auto"/>
                <w:kern w:val="0"/>
                <w:sz w:val="22"/>
                <w:szCs w:val="22"/>
                <w:highlight w:val="none"/>
                <w:u w:val="none"/>
              </w:rPr>
              <w:t>2</w:t>
            </w:r>
          </w:p>
        </w:tc>
        <w:tc>
          <w:tcPr>
            <w:tcW w:w="1045" w:type="dxa"/>
            <w:vAlign w:val="center"/>
          </w:tcPr>
          <w:p>
            <w:pPr>
              <w:widowControl/>
              <w:jc w:val="center"/>
              <w:textAlignment w:val="center"/>
              <w:rPr>
                <w:rFonts w:hint="eastAsia" w:ascii="仿宋" w:hAnsi="仿宋" w:eastAsia="仿宋" w:cs="仿宋"/>
                <w:color w:val="auto"/>
                <w:sz w:val="22"/>
                <w:szCs w:val="22"/>
                <w:highlight w:val="none"/>
                <w:u w:val="none"/>
              </w:rPr>
            </w:pPr>
            <w:r>
              <w:rPr>
                <w:rFonts w:hint="eastAsia" w:ascii="仿宋" w:hAnsi="仿宋" w:eastAsia="仿宋" w:cs="仿宋"/>
                <w:color w:val="auto"/>
                <w:kern w:val="0"/>
                <w:sz w:val="22"/>
                <w:szCs w:val="22"/>
                <w:highlight w:val="none"/>
                <w:u w:val="none"/>
              </w:rPr>
              <w:t>3</w:t>
            </w:r>
          </w:p>
        </w:tc>
        <w:tc>
          <w:tcPr>
            <w:tcW w:w="1045" w:type="dxa"/>
            <w:vAlign w:val="center"/>
          </w:tcPr>
          <w:p>
            <w:pPr>
              <w:widowControl/>
              <w:jc w:val="center"/>
              <w:textAlignment w:val="center"/>
              <w:rPr>
                <w:rFonts w:hint="eastAsia" w:ascii="仿宋" w:hAnsi="仿宋" w:eastAsia="仿宋" w:cs="仿宋"/>
                <w:color w:val="auto"/>
                <w:sz w:val="22"/>
                <w:szCs w:val="22"/>
                <w:highlight w:val="none"/>
                <w:u w:val="none"/>
              </w:rPr>
            </w:pPr>
            <w:r>
              <w:rPr>
                <w:rFonts w:hint="eastAsia" w:ascii="仿宋" w:hAnsi="仿宋" w:eastAsia="仿宋" w:cs="仿宋"/>
                <w:color w:val="auto"/>
                <w:kern w:val="0"/>
                <w:sz w:val="22"/>
                <w:szCs w:val="22"/>
                <w:highlight w:val="none"/>
                <w:u w:val="none"/>
              </w:rPr>
              <w:t>4</w:t>
            </w:r>
          </w:p>
        </w:tc>
        <w:tc>
          <w:tcPr>
            <w:tcW w:w="1047" w:type="dxa"/>
            <w:vAlign w:val="center"/>
          </w:tcPr>
          <w:p>
            <w:pPr>
              <w:widowControl/>
              <w:jc w:val="center"/>
              <w:textAlignment w:val="center"/>
              <w:rPr>
                <w:rFonts w:hint="eastAsia" w:ascii="仿宋" w:hAnsi="仿宋" w:eastAsia="仿宋" w:cs="仿宋"/>
                <w:color w:val="auto"/>
                <w:sz w:val="22"/>
                <w:szCs w:val="22"/>
                <w:highlight w:val="none"/>
                <w:u w:val="none"/>
              </w:rPr>
            </w:pPr>
            <w:r>
              <w:rPr>
                <w:rFonts w:hint="eastAsia" w:ascii="仿宋" w:hAnsi="仿宋" w:eastAsia="仿宋" w:cs="仿宋"/>
                <w:color w:val="auto"/>
                <w:kern w:val="0"/>
                <w:sz w:val="22"/>
                <w:szCs w:val="22"/>
                <w:highlight w:val="none"/>
                <w:u w:val="none"/>
              </w:rPr>
              <w:t>5</w:t>
            </w:r>
          </w:p>
        </w:tc>
        <w:tc>
          <w:tcPr>
            <w:tcW w:w="1045" w:type="dxa"/>
            <w:vAlign w:val="center"/>
          </w:tcPr>
          <w:p>
            <w:pPr>
              <w:widowControl/>
              <w:jc w:val="center"/>
              <w:textAlignment w:val="center"/>
              <w:rPr>
                <w:rFonts w:hint="eastAsia" w:ascii="仿宋" w:hAnsi="仿宋" w:eastAsia="仿宋" w:cs="仿宋"/>
                <w:color w:val="auto"/>
                <w:sz w:val="22"/>
                <w:szCs w:val="22"/>
                <w:highlight w:val="none"/>
                <w:u w:val="none"/>
              </w:rPr>
            </w:pPr>
            <w:r>
              <w:rPr>
                <w:rFonts w:hint="eastAsia" w:ascii="仿宋" w:hAnsi="仿宋" w:eastAsia="仿宋" w:cs="仿宋"/>
                <w:color w:val="auto"/>
                <w:kern w:val="0"/>
                <w:sz w:val="22"/>
                <w:szCs w:val="22"/>
                <w:highlight w:val="none"/>
                <w:u w:val="none"/>
              </w:rPr>
              <w:t>6</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1" w:hRule="atLeast"/>
        </w:trPr>
        <w:tc>
          <w:tcPr>
            <w:tcW w:w="2262" w:type="dxa"/>
            <w:vAlign w:val="center"/>
          </w:tcPr>
          <w:p>
            <w:pPr>
              <w:widowControl/>
              <w:jc w:val="center"/>
              <w:textAlignment w:val="center"/>
              <w:rPr>
                <w:rFonts w:hint="eastAsia" w:ascii="仿宋" w:hAnsi="仿宋" w:eastAsia="仿宋" w:cs="仿宋"/>
                <w:color w:val="auto"/>
                <w:sz w:val="22"/>
                <w:szCs w:val="22"/>
                <w:highlight w:val="none"/>
                <w:u w:val="none"/>
              </w:rPr>
            </w:pPr>
            <w:r>
              <w:rPr>
                <w:rFonts w:hint="eastAsia" w:ascii="仿宋" w:hAnsi="仿宋" w:eastAsia="仿宋" w:cs="仿宋"/>
                <w:color w:val="auto"/>
                <w:kern w:val="0"/>
                <w:sz w:val="22"/>
                <w:szCs w:val="22"/>
                <w:highlight w:val="none"/>
                <w:u w:val="none"/>
              </w:rPr>
              <w:t>合      计</w:t>
            </w:r>
          </w:p>
        </w:tc>
        <w:tc>
          <w:tcPr>
            <w:tcW w:w="1045" w:type="dxa"/>
            <w:vAlign w:val="center"/>
          </w:tcPr>
          <w:p>
            <w:pPr>
              <w:widowControl/>
              <w:jc w:val="right"/>
              <w:textAlignment w:val="center"/>
              <w:rPr>
                <w:rFonts w:hint="eastAsia" w:ascii="仿宋" w:hAnsi="仿宋" w:eastAsia="仿宋" w:cs="仿宋"/>
                <w:color w:val="auto"/>
                <w:sz w:val="22"/>
                <w:szCs w:val="22"/>
                <w:highlight w:val="none"/>
                <w:u w:val="none"/>
              </w:rPr>
            </w:pPr>
            <w:r>
              <w:rPr>
                <w:rFonts w:hint="eastAsia" w:ascii="仿宋" w:hAnsi="仿宋" w:eastAsia="仿宋" w:cs="仿宋"/>
                <w:color w:val="auto"/>
                <w:kern w:val="0"/>
                <w:sz w:val="22"/>
                <w:szCs w:val="22"/>
                <w:highlight w:val="none"/>
                <w:u w:val="none"/>
              </w:rPr>
              <w:t>1,283.90</w:t>
            </w:r>
          </w:p>
        </w:tc>
        <w:tc>
          <w:tcPr>
            <w:tcW w:w="1045" w:type="dxa"/>
            <w:vAlign w:val="center"/>
          </w:tcPr>
          <w:p>
            <w:pPr>
              <w:widowControl/>
              <w:jc w:val="right"/>
              <w:textAlignment w:val="center"/>
              <w:rPr>
                <w:rFonts w:hint="eastAsia" w:ascii="仿宋" w:hAnsi="仿宋" w:eastAsia="仿宋" w:cs="仿宋"/>
                <w:color w:val="auto"/>
                <w:sz w:val="22"/>
                <w:szCs w:val="22"/>
                <w:highlight w:val="none"/>
                <w:u w:val="none"/>
              </w:rPr>
            </w:pPr>
            <w:r>
              <w:rPr>
                <w:rFonts w:hint="eastAsia" w:ascii="仿宋" w:hAnsi="仿宋" w:eastAsia="仿宋" w:cs="仿宋"/>
                <w:color w:val="auto"/>
                <w:kern w:val="0"/>
                <w:sz w:val="22"/>
                <w:szCs w:val="22"/>
                <w:highlight w:val="none"/>
                <w:u w:val="none"/>
              </w:rPr>
              <w:t>1,283.90</w:t>
            </w:r>
          </w:p>
        </w:tc>
        <w:tc>
          <w:tcPr>
            <w:tcW w:w="1045" w:type="dxa"/>
            <w:vAlign w:val="center"/>
          </w:tcPr>
          <w:p>
            <w:pPr>
              <w:widowControl/>
              <w:jc w:val="right"/>
              <w:textAlignment w:val="center"/>
              <w:rPr>
                <w:rFonts w:hint="eastAsia" w:ascii="仿宋" w:hAnsi="仿宋" w:eastAsia="仿宋" w:cs="仿宋"/>
                <w:color w:val="auto"/>
                <w:sz w:val="22"/>
                <w:szCs w:val="22"/>
                <w:highlight w:val="none"/>
                <w:u w:val="none"/>
              </w:rPr>
            </w:pPr>
            <w:r>
              <w:rPr>
                <w:rFonts w:hint="eastAsia" w:ascii="仿宋" w:hAnsi="仿宋" w:eastAsia="仿宋" w:cs="仿宋"/>
                <w:color w:val="auto"/>
                <w:kern w:val="0"/>
                <w:sz w:val="22"/>
                <w:szCs w:val="22"/>
                <w:highlight w:val="none"/>
                <w:u w:val="none"/>
              </w:rPr>
              <w:t>1,283.90</w:t>
            </w:r>
          </w:p>
        </w:tc>
        <w:tc>
          <w:tcPr>
            <w:tcW w:w="1045" w:type="dxa"/>
            <w:vAlign w:val="center"/>
          </w:tcPr>
          <w:p>
            <w:pPr>
              <w:widowControl/>
              <w:jc w:val="right"/>
              <w:textAlignment w:val="center"/>
              <w:rPr>
                <w:rFonts w:hint="eastAsia" w:ascii="仿宋" w:hAnsi="仿宋" w:eastAsia="仿宋" w:cs="仿宋"/>
                <w:color w:val="auto"/>
                <w:sz w:val="22"/>
                <w:szCs w:val="22"/>
                <w:highlight w:val="none"/>
                <w:u w:val="none"/>
              </w:rPr>
            </w:pPr>
          </w:p>
        </w:tc>
        <w:tc>
          <w:tcPr>
            <w:tcW w:w="1047" w:type="dxa"/>
            <w:vAlign w:val="center"/>
          </w:tcPr>
          <w:p>
            <w:pPr>
              <w:widowControl/>
              <w:jc w:val="right"/>
              <w:textAlignment w:val="center"/>
              <w:rPr>
                <w:rFonts w:hint="eastAsia" w:ascii="仿宋" w:hAnsi="仿宋" w:eastAsia="仿宋" w:cs="仿宋"/>
                <w:color w:val="auto"/>
                <w:sz w:val="22"/>
                <w:szCs w:val="22"/>
                <w:highlight w:val="none"/>
                <w:u w:val="none"/>
              </w:rPr>
            </w:pPr>
          </w:p>
        </w:tc>
        <w:tc>
          <w:tcPr>
            <w:tcW w:w="1045" w:type="dxa"/>
            <w:vAlign w:val="center"/>
          </w:tcPr>
          <w:p>
            <w:pPr>
              <w:widowControl/>
              <w:jc w:val="right"/>
              <w:textAlignment w:val="center"/>
              <w:rPr>
                <w:rFonts w:hint="eastAsia" w:ascii="仿宋" w:hAnsi="仿宋" w:eastAsia="仿宋" w:cs="仿宋"/>
                <w:color w:val="auto"/>
                <w:sz w:val="22"/>
                <w:szCs w:val="22"/>
                <w:highlight w:val="none"/>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1" w:hRule="atLeast"/>
        </w:trPr>
        <w:tc>
          <w:tcPr>
            <w:tcW w:w="2262" w:type="dxa"/>
            <w:vAlign w:val="center"/>
          </w:tcPr>
          <w:p>
            <w:pPr>
              <w:widowControl/>
              <w:jc w:val="center"/>
              <w:textAlignment w:val="center"/>
              <w:rPr>
                <w:rFonts w:hint="eastAsia" w:ascii="仿宋" w:hAnsi="仿宋" w:eastAsia="仿宋" w:cs="仿宋"/>
                <w:color w:val="auto"/>
                <w:sz w:val="22"/>
                <w:szCs w:val="22"/>
                <w:highlight w:val="none"/>
                <w:u w:val="none"/>
              </w:rPr>
            </w:pPr>
            <w:r>
              <w:rPr>
                <w:rFonts w:hint="eastAsia" w:ascii="仿宋" w:hAnsi="仿宋" w:eastAsia="仿宋" w:cs="仿宋"/>
                <w:color w:val="auto"/>
                <w:kern w:val="0"/>
                <w:sz w:val="22"/>
                <w:szCs w:val="22"/>
                <w:highlight w:val="none"/>
                <w:u w:val="none"/>
              </w:rPr>
              <w:t>货物</w:t>
            </w:r>
          </w:p>
        </w:tc>
        <w:tc>
          <w:tcPr>
            <w:tcW w:w="1045" w:type="dxa"/>
            <w:vAlign w:val="center"/>
          </w:tcPr>
          <w:p>
            <w:pPr>
              <w:widowControl/>
              <w:jc w:val="right"/>
              <w:textAlignment w:val="center"/>
              <w:rPr>
                <w:rFonts w:hint="eastAsia" w:ascii="仿宋" w:hAnsi="仿宋" w:eastAsia="仿宋" w:cs="仿宋"/>
                <w:color w:val="auto"/>
                <w:sz w:val="22"/>
                <w:szCs w:val="22"/>
                <w:highlight w:val="none"/>
                <w:u w:val="none"/>
              </w:rPr>
            </w:pPr>
            <w:r>
              <w:rPr>
                <w:rFonts w:hint="eastAsia" w:ascii="仿宋" w:hAnsi="仿宋" w:eastAsia="仿宋" w:cs="仿宋"/>
                <w:color w:val="auto"/>
                <w:kern w:val="0"/>
                <w:sz w:val="22"/>
                <w:szCs w:val="22"/>
                <w:highlight w:val="none"/>
                <w:u w:val="none"/>
              </w:rPr>
              <w:t>1,220.24</w:t>
            </w:r>
          </w:p>
        </w:tc>
        <w:tc>
          <w:tcPr>
            <w:tcW w:w="1045" w:type="dxa"/>
            <w:vAlign w:val="center"/>
          </w:tcPr>
          <w:p>
            <w:pPr>
              <w:widowControl/>
              <w:jc w:val="right"/>
              <w:textAlignment w:val="center"/>
              <w:rPr>
                <w:rFonts w:hint="eastAsia" w:ascii="仿宋" w:hAnsi="仿宋" w:eastAsia="仿宋" w:cs="仿宋"/>
                <w:color w:val="auto"/>
                <w:sz w:val="22"/>
                <w:szCs w:val="22"/>
                <w:highlight w:val="none"/>
                <w:u w:val="none"/>
              </w:rPr>
            </w:pPr>
            <w:r>
              <w:rPr>
                <w:rFonts w:hint="eastAsia" w:ascii="仿宋" w:hAnsi="仿宋" w:eastAsia="仿宋" w:cs="仿宋"/>
                <w:color w:val="auto"/>
                <w:kern w:val="0"/>
                <w:sz w:val="22"/>
                <w:szCs w:val="22"/>
                <w:highlight w:val="none"/>
                <w:u w:val="none"/>
              </w:rPr>
              <w:t>1,220.24</w:t>
            </w:r>
          </w:p>
        </w:tc>
        <w:tc>
          <w:tcPr>
            <w:tcW w:w="1045" w:type="dxa"/>
            <w:vAlign w:val="center"/>
          </w:tcPr>
          <w:p>
            <w:pPr>
              <w:widowControl/>
              <w:jc w:val="right"/>
              <w:textAlignment w:val="center"/>
              <w:rPr>
                <w:rFonts w:hint="eastAsia" w:ascii="仿宋" w:hAnsi="仿宋" w:eastAsia="仿宋" w:cs="仿宋"/>
                <w:color w:val="auto"/>
                <w:sz w:val="22"/>
                <w:szCs w:val="22"/>
                <w:highlight w:val="none"/>
                <w:u w:val="none"/>
              </w:rPr>
            </w:pPr>
            <w:r>
              <w:rPr>
                <w:rFonts w:hint="eastAsia" w:ascii="仿宋" w:hAnsi="仿宋" w:eastAsia="仿宋" w:cs="仿宋"/>
                <w:color w:val="auto"/>
                <w:kern w:val="0"/>
                <w:sz w:val="22"/>
                <w:szCs w:val="22"/>
                <w:highlight w:val="none"/>
                <w:u w:val="none"/>
              </w:rPr>
              <w:t>1,220.24</w:t>
            </w:r>
          </w:p>
        </w:tc>
        <w:tc>
          <w:tcPr>
            <w:tcW w:w="1045" w:type="dxa"/>
            <w:vAlign w:val="center"/>
          </w:tcPr>
          <w:p>
            <w:pPr>
              <w:widowControl/>
              <w:jc w:val="right"/>
              <w:textAlignment w:val="center"/>
              <w:rPr>
                <w:rFonts w:hint="eastAsia" w:ascii="仿宋" w:hAnsi="仿宋" w:eastAsia="仿宋" w:cs="仿宋"/>
                <w:color w:val="auto"/>
                <w:sz w:val="22"/>
                <w:szCs w:val="22"/>
                <w:highlight w:val="none"/>
                <w:u w:val="none"/>
              </w:rPr>
            </w:pPr>
          </w:p>
        </w:tc>
        <w:tc>
          <w:tcPr>
            <w:tcW w:w="1047" w:type="dxa"/>
            <w:vAlign w:val="center"/>
          </w:tcPr>
          <w:p>
            <w:pPr>
              <w:widowControl/>
              <w:jc w:val="right"/>
              <w:textAlignment w:val="center"/>
              <w:rPr>
                <w:rFonts w:hint="eastAsia" w:ascii="仿宋" w:hAnsi="仿宋" w:eastAsia="仿宋" w:cs="仿宋"/>
                <w:color w:val="auto"/>
                <w:sz w:val="22"/>
                <w:szCs w:val="22"/>
                <w:highlight w:val="none"/>
                <w:u w:val="none"/>
              </w:rPr>
            </w:pPr>
          </w:p>
        </w:tc>
        <w:tc>
          <w:tcPr>
            <w:tcW w:w="1045" w:type="dxa"/>
            <w:vAlign w:val="center"/>
          </w:tcPr>
          <w:p>
            <w:pPr>
              <w:widowControl/>
              <w:jc w:val="right"/>
              <w:textAlignment w:val="center"/>
              <w:rPr>
                <w:rFonts w:hint="eastAsia" w:ascii="仿宋" w:hAnsi="仿宋" w:eastAsia="仿宋" w:cs="仿宋"/>
                <w:color w:val="auto"/>
                <w:sz w:val="22"/>
                <w:szCs w:val="22"/>
                <w:highlight w:val="none"/>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1" w:hRule="atLeast"/>
        </w:trPr>
        <w:tc>
          <w:tcPr>
            <w:tcW w:w="2262" w:type="dxa"/>
            <w:vAlign w:val="center"/>
          </w:tcPr>
          <w:p>
            <w:pPr>
              <w:widowControl/>
              <w:jc w:val="center"/>
              <w:textAlignment w:val="center"/>
              <w:rPr>
                <w:rFonts w:hint="eastAsia" w:ascii="仿宋" w:hAnsi="仿宋" w:eastAsia="仿宋" w:cs="仿宋"/>
                <w:color w:val="auto"/>
                <w:sz w:val="22"/>
                <w:szCs w:val="22"/>
                <w:highlight w:val="none"/>
                <w:u w:val="none"/>
              </w:rPr>
            </w:pPr>
            <w:r>
              <w:rPr>
                <w:rFonts w:hint="eastAsia" w:ascii="仿宋" w:hAnsi="仿宋" w:eastAsia="仿宋" w:cs="仿宋"/>
                <w:color w:val="auto"/>
                <w:kern w:val="0"/>
                <w:sz w:val="22"/>
                <w:szCs w:val="22"/>
                <w:highlight w:val="none"/>
                <w:u w:val="none"/>
              </w:rPr>
              <w:t>工程</w:t>
            </w:r>
          </w:p>
        </w:tc>
        <w:tc>
          <w:tcPr>
            <w:tcW w:w="1045" w:type="dxa"/>
            <w:vAlign w:val="center"/>
          </w:tcPr>
          <w:p>
            <w:pPr>
              <w:widowControl/>
              <w:jc w:val="right"/>
              <w:textAlignment w:val="center"/>
              <w:rPr>
                <w:rFonts w:hint="eastAsia" w:ascii="仿宋" w:hAnsi="仿宋" w:eastAsia="仿宋" w:cs="仿宋"/>
                <w:color w:val="auto"/>
                <w:sz w:val="22"/>
                <w:szCs w:val="22"/>
                <w:highlight w:val="none"/>
                <w:u w:val="none"/>
              </w:rPr>
            </w:pPr>
            <w:r>
              <w:rPr>
                <w:rFonts w:hint="eastAsia" w:ascii="仿宋" w:hAnsi="仿宋" w:eastAsia="仿宋" w:cs="仿宋"/>
                <w:color w:val="auto"/>
                <w:kern w:val="0"/>
                <w:sz w:val="22"/>
                <w:szCs w:val="22"/>
                <w:highlight w:val="none"/>
                <w:u w:val="none"/>
              </w:rPr>
              <w:t>63.66</w:t>
            </w:r>
          </w:p>
        </w:tc>
        <w:tc>
          <w:tcPr>
            <w:tcW w:w="1045" w:type="dxa"/>
            <w:vAlign w:val="center"/>
          </w:tcPr>
          <w:p>
            <w:pPr>
              <w:widowControl/>
              <w:jc w:val="right"/>
              <w:textAlignment w:val="center"/>
              <w:rPr>
                <w:rFonts w:hint="eastAsia" w:ascii="仿宋" w:hAnsi="仿宋" w:eastAsia="仿宋" w:cs="仿宋"/>
                <w:color w:val="auto"/>
                <w:sz w:val="22"/>
                <w:szCs w:val="22"/>
                <w:highlight w:val="none"/>
                <w:u w:val="none"/>
              </w:rPr>
            </w:pPr>
            <w:r>
              <w:rPr>
                <w:rFonts w:hint="eastAsia" w:ascii="仿宋" w:hAnsi="仿宋" w:eastAsia="仿宋" w:cs="仿宋"/>
                <w:color w:val="auto"/>
                <w:kern w:val="0"/>
                <w:sz w:val="22"/>
                <w:szCs w:val="22"/>
                <w:highlight w:val="none"/>
                <w:u w:val="none"/>
              </w:rPr>
              <w:t>63.66</w:t>
            </w:r>
          </w:p>
        </w:tc>
        <w:tc>
          <w:tcPr>
            <w:tcW w:w="1045" w:type="dxa"/>
            <w:vAlign w:val="center"/>
          </w:tcPr>
          <w:p>
            <w:pPr>
              <w:widowControl/>
              <w:jc w:val="right"/>
              <w:textAlignment w:val="center"/>
              <w:rPr>
                <w:rFonts w:hint="eastAsia" w:ascii="仿宋" w:hAnsi="仿宋" w:eastAsia="仿宋" w:cs="仿宋"/>
                <w:color w:val="auto"/>
                <w:sz w:val="22"/>
                <w:szCs w:val="22"/>
                <w:highlight w:val="none"/>
                <w:u w:val="none"/>
              </w:rPr>
            </w:pPr>
            <w:r>
              <w:rPr>
                <w:rFonts w:hint="eastAsia" w:ascii="仿宋" w:hAnsi="仿宋" w:eastAsia="仿宋" w:cs="仿宋"/>
                <w:color w:val="auto"/>
                <w:kern w:val="0"/>
                <w:sz w:val="22"/>
                <w:szCs w:val="22"/>
                <w:highlight w:val="none"/>
                <w:u w:val="none"/>
              </w:rPr>
              <w:t>63.66</w:t>
            </w:r>
          </w:p>
        </w:tc>
        <w:tc>
          <w:tcPr>
            <w:tcW w:w="1045" w:type="dxa"/>
            <w:vAlign w:val="center"/>
          </w:tcPr>
          <w:p>
            <w:pPr>
              <w:widowControl/>
              <w:jc w:val="right"/>
              <w:textAlignment w:val="center"/>
              <w:rPr>
                <w:rFonts w:hint="eastAsia" w:ascii="仿宋" w:hAnsi="仿宋" w:eastAsia="仿宋" w:cs="仿宋"/>
                <w:color w:val="auto"/>
                <w:sz w:val="22"/>
                <w:szCs w:val="22"/>
                <w:highlight w:val="none"/>
                <w:u w:val="none"/>
              </w:rPr>
            </w:pPr>
          </w:p>
        </w:tc>
        <w:tc>
          <w:tcPr>
            <w:tcW w:w="1047" w:type="dxa"/>
            <w:vAlign w:val="center"/>
          </w:tcPr>
          <w:p>
            <w:pPr>
              <w:widowControl/>
              <w:jc w:val="right"/>
              <w:textAlignment w:val="center"/>
              <w:rPr>
                <w:rFonts w:hint="eastAsia" w:ascii="仿宋" w:hAnsi="仿宋" w:eastAsia="仿宋" w:cs="仿宋"/>
                <w:color w:val="auto"/>
                <w:sz w:val="22"/>
                <w:szCs w:val="22"/>
                <w:highlight w:val="none"/>
                <w:u w:val="none"/>
              </w:rPr>
            </w:pPr>
          </w:p>
        </w:tc>
        <w:tc>
          <w:tcPr>
            <w:tcW w:w="1045" w:type="dxa"/>
            <w:vAlign w:val="center"/>
          </w:tcPr>
          <w:p>
            <w:pPr>
              <w:widowControl/>
              <w:jc w:val="right"/>
              <w:textAlignment w:val="center"/>
              <w:rPr>
                <w:rFonts w:hint="eastAsia" w:ascii="仿宋" w:hAnsi="仿宋" w:eastAsia="仿宋" w:cs="仿宋"/>
                <w:color w:val="auto"/>
                <w:sz w:val="22"/>
                <w:szCs w:val="22"/>
                <w:highlight w:val="none"/>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1" w:hRule="atLeast"/>
        </w:trPr>
        <w:tc>
          <w:tcPr>
            <w:tcW w:w="2262" w:type="dxa"/>
            <w:tcBorders>
              <w:bottom w:val="double" w:color="000000" w:sz="4" w:space="0"/>
            </w:tcBorders>
            <w:vAlign w:val="center"/>
          </w:tcPr>
          <w:p>
            <w:pPr>
              <w:widowControl/>
              <w:jc w:val="center"/>
              <w:textAlignment w:val="center"/>
              <w:rPr>
                <w:rFonts w:hint="eastAsia" w:ascii="仿宋" w:hAnsi="仿宋" w:eastAsia="仿宋" w:cs="仿宋"/>
                <w:color w:val="auto"/>
                <w:sz w:val="22"/>
                <w:szCs w:val="22"/>
                <w:highlight w:val="none"/>
                <w:u w:val="none"/>
              </w:rPr>
            </w:pPr>
            <w:r>
              <w:rPr>
                <w:rFonts w:hint="eastAsia" w:ascii="仿宋" w:hAnsi="仿宋" w:eastAsia="仿宋" w:cs="仿宋"/>
                <w:color w:val="auto"/>
                <w:kern w:val="0"/>
                <w:sz w:val="22"/>
                <w:szCs w:val="22"/>
                <w:highlight w:val="none"/>
                <w:u w:val="none"/>
              </w:rPr>
              <w:t>服务</w:t>
            </w:r>
          </w:p>
        </w:tc>
        <w:tc>
          <w:tcPr>
            <w:tcW w:w="1045" w:type="dxa"/>
            <w:tcBorders>
              <w:bottom w:val="double" w:color="000000" w:sz="4" w:space="0"/>
            </w:tcBorders>
            <w:vAlign w:val="center"/>
          </w:tcPr>
          <w:p>
            <w:pPr>
              <w:widowControl/>
              <w:jc w:val="right"/>
              <w:textAlignment w:val="center"/>
              <w:rPr>
                <w:rFonts w:hint="eastAsia" w:ascii="仿宋" w:hAnsi="仿宋" w:eastAsia="仿宋" w:cs="仿宋"/>
                <w:color w:val="auto"/>
                <w:sz w:val="22"/>
                <w:szCs w:val="22"/>
                <w:highlight w:val="none"/>
                <w:u w:val="none"/>
              </w:rPr>
            </w:pPr>
          </w:p>
        </w:tc>
        <w:tc>
          <w:tcPr>
            <w:tcW w:w="1045" w:type="dxa"/>
            <w:tcBorders>
              <w:bottom w:val="double" w:color="000000" w:sz="4" w:space="0"/>
            </w:tcBorders>
            <w:vAlign w:val="center"/>
          </w:tcPr>
          <w:p>
            <w:pPr>
              <w:widowControl/>
              <w:jc w:val="right"/>
              <w:textAlignment w:val="center"/>
              <w:rPr>
                <w:rFonts w:hint="eastAsia" w:ascii="仿宋" w:hAnsi="仿宋" w:eastAsia="仿宋" w:cs="仿宋"/>
                <w:color w:val="auto"/>
                <w:sz w:val="22"/>
                <w:szCs w:val="22"/>
                <w:highlight w:val="none"/>
                <w:u w:val="none"/>
              </w:rPr>
            </w:pPr>
          </w:p>
        </w:tc>
        <w:tc>
          <w:tcPr>
            <w:tcW w:w="1045" w:type="dxa"/>
            <w:tcBorders>
              <w:bottom w:val="double" w:color="000000" w:sz="4" w:space="0"/>
            </w:tcBorders>
            <w:vAlign w:val="center"/>
          </w:tcPr>
          <w:p>
            <w:pPr>
              <w:widowControl/>
              <w:jc w:val="right"/>
              <w:textAlignment w:val="center"/>
              <w:rPr>
                <w:rFonts w:hint="eastAsia" w:ascii="仿宋" w:hAnsi="仿宋" w:eastAsia="仿宋" w:cs="仿宋"/>
                <w:color w:val="auto"/>
                <w:sz w:val="22"/>
                <w:szCs w:val="22"/>
                <w:highlight w:val="none"/>
                <w:u w:val="none"/>
              </w:rPr>
            </w:pPr>
          </w:p>
        </w:tc>
        <w:tc>
          <w:tcPr>
            <w:tcW w:w="1045" w:type="dxa"/>
            <w:tcBorders>
              <w:bottom w:val="double" w:color="000000" w:sz="4" w:space="0"/>
            </w:tcBorders>
            <w:vAlign w:val="center"/>
          </w:tcPr>
          <w:p>
            <w:pPr>
              <w:widowControl/>
              <w:jc w:val="right"/>
              <w:textAlignment w:val="center"/>
              <w:rPr>
                <w:rFonts w:hint="eastAsia" w:ascii="仿宋" w:hAnsi="仿宋" w:eastAsia="仿宋" w:cs="仿宋"/>
                <w:color w:val="auto"/>
                <w:sz w:val="22"/>
                <w:szCs w:val="22"/>
                <w:highlight w:val="none"/>
                <w:u w:val="none"/>
              </w:rPr>
            </w:pPr>
          </w:p>
        </w:tc>
        <w:tc>
          <w:tcPr>
            <w:tcW w:w="1047" w:type="dxa"/>
            <w:tcBorders>
              <w:bottom w:val="double" w:color="000000" w:sz="4" w:space="0"/>
            </w:tcBorders>
            <w:vAlign w:val="center"/>
          </w:tcPr>
          <w:p>
            <w:pPr>
              <w:widowControl/>
              <w:jc w:val="right"/>
              <w:textAlignment w:val="center"/>
              <w:rPr>
                <w:rFonts w:hint="eastAsia" w:ascii="仿宋" w:hAnsi="仿宋" w:eastAsia="仿宋" w:cs="仿宋"/>
                <w:color w:val="auto"/>
                <w:sz w:val="22"/>
                <w:szCs w:val="22"/>
                <w:highlight w:val="none"/>
                <w:u w:val="none"/>
              </w:rPr>
            </w:pPr>
          </w:p>
        </w:tc>
        <w:tc>
          <w:tcPr>
            <w:tcW w:w="1045" w:type="dxa"/>
            <w:tcBorders>
              <w:bottom w:val="double" w:color="000000" w:sz="4" w:space="0"/>
            </w:tcBorders>
            <w:vAlign w:val="center"/>
          </w:tcPr>
          <w:p>
            <w:pPr>
              <w:widowControl/>
              <w:jc w:val="right"/>
              <w:textAlignment w:val="center"/>
              <w:rPr>
                <w:rFonts w:hint="eastAsia" w:ascii="仿宋" w:hAnsi="仿宋" w:eastAsia="仿宋" w:cs="仿宋"/>
                <w:color w:val="auto"/>
                <w:sz w:val="22"/>
                <w:szCs w:val="22"/>
                <w:highlight w:val="none"/>
                <w:u w:val="none"/>
              </w:rPr>
            </w:pPr>
          </w:p>
        </w:tc>
      </w:tr>
    </w:tbl>
    <w:p>
      <w:pPr>
        <w:widowControl/>
        <w:spacing w:line="560" w:lineRule="exact"/>
        <w:ind w:firstLine="643" w:firstLineChars="200"/>
        <w:rPr>
          <w:rFonts w:hint="eastAsia" w:ascii="仿宋" w:hAnsi="仿宋" w:eastAsia="仿宋" w:cs="仿宋"/>
          <w:color w:val="auto"/>
          <w:kern w:val="0"/>
          <w:sz w:val="32"/>
          <w:szCs w:val="32"/>
          <w:highlight w:val="none"/>
          <w:u w:val="none"/>
          <w:shd w:val="clear" w:color="auto" w:fill="FFFFFF"/>
        </w:rPr>
      </w:pPr>
      <w:r>
        <w:rPr>
          <w:rFonts w:hint="eastAsia" w:ascii="仿宋" w:hAnsi="仿宋" w:eastAsia="仿宋" w:cs="仿宋"/>
          <w:b/>
          <w:bCs/>
          <w:color w:val="auto"/>
          <w:sz w:val="32"/>
          <w:szCs w:val="32"/>
          <w:highlight w:val="none"/>
          <w:u w:val="none"/>
        </w:rPr>
        <w:t>3、国有资产占用情况:</w:t>
      </w:r>
      <w:r>
        <w:rPr>
          <w:rFonts w:hint="eastAsia" w:ascii="仿宋" w:hAnsi="仿宋" w:eastAsia="仿宋" w:cs="仿宋"/>
          <w:color w:val="auto"/>
          <w:sz w:val="32"/>
          <w:highlight w:val="none"/>
          <w:u w:val="none"/>
        </w:rPr>
        <w:t>截至2017年12月31日，本部门共有车辆</w:t>
      </w:r>
      <w:r>
        <w:rPr>
          <w:rFonts w:hint="eastAsia" w:ascii="仿宋" w:hAnsi="仿宋" w:eastAsia="仿宋" w:cs="仿宋"/>
          <w:color w:val="auto"/>
          <w:sz w:val="32"/>
          <w:highlight w:val="none"/>
          <w:u w:val="none"/>
          <w:lang w:val="en-US" w:eastAsia="zh-CN"/>
        </w:rPr>
        <w:t>74</w:t>
      </w:r>
      <w:r>
        <w:rPr>
          <w:rFonts w:hint="eastAsia" w:ascii="仿宋" w:hAnsi="仿宋" w:eastAsia="仿宋" w:cs="仿宋"/>
          <w:color w:val="auto"/>
          <w:sz w:val="32"/>
          <w:highlight w:val="none"/>
          <w:u w:val="none"/>
        </w:rPr>
        <w:t>辆，其中，一般公务用车</w:t>
      </w:r>
      <w:r>
        <w:rPr>
          <w:rFonts w:hint="eastAsia" w:ascii="仿宋" w:hAnsi="仿宋" w:eastAsia="仿宋" w:cs="仿宋"/>
          <w:color w:val="auto"/>
          <w:sz w:val="32"/>
          <w:highlight w:val="none"/>
          <w:u w:val="none"/>
          <w:lang w:val="en-US" w:eastAsia="zh-CN"/>
        </w:rPr>
        <w:t>8</w:t>
      </w:r>
      <w:r>
        <w:rPr>
          <w:rFonts w:hint="eastAsia" w:ascii="仿宋" w:hAnsi="仿宋" w:eastAsia="仿宋" w:cs="仿宋"/>
          <w:color w:val="auto"/>
          <w:sz w:val="32"/>
          <w:highlight w:val="none"/>
          <w:u w:val="none"/>
        </w:rPr>
        <w:t>辆；单位价值50万元以上通用设备</w:t>
      </w:r>
      <w:r>
        <w:rPr>
          <w:rFonts w:hint="eastAsia" w:ascii="仿宋" w:hAnsi="仿宋" w:eastAsia="仿宋" w:cs="仿宋"/>
          <w:color w:val="auto"/>
          <w:sz w:val="32"/>
          <w:szCs w:val="32"/>
          <w:highlight w:val="none"/>
          <w:u w:val="none"/>
          <w:lang w:val="en-US" w:eastAsia="zh-CN"/>
        </w:rPr>
        <w:t>24</w:t>
      </w:r>
      <w:r>
        <w:rPr>
          <w:rFonts w:hint="eastAsia" w:ascii="仿宋" w:hAnsi="仿宋" w:eastAsia="仿宋" w:cs="仿宋"/>
          <w:color w:val="auto"/>
          <w:sz w:val="32"/>
          <w:highlight w:val="none"/>
          <w:u w:val="none"/>
        </w:rPr>
        <w:t>台（套），单价100万元以上专用设备</w:t>
      </w:r>
      <w:r>
        <w:rPr>
          <w:rFonts w:hint="eastAsia" w:ascii="仿宋" w:hAnsi="仿宋" w:eastAsia="仿宋" w:cs="仿宋"/>
          <w:color w:val="auto"/>
          <w:sz w:val="32"/>
          <w:szCs w:val="32"/>
          <w:highlight w:val="none"/>
          <w:u w:val="none"/>
          <w:lang w:val="en-US" w:eastAsia="zh-CN"/>
        </w:rPr>
        <w:t>52</w:t>
      </w:r>
      <w:r>
        <w:rPr>
          <w:rFonts w:hint="eastAsia" w:ascii="仿宋" w:hAnsi="仿宋" w:eastAsia="仿宋" w:cs="仿宋"/>
          <w:color w:val="auto"/>
          <w:sz w:val="32"/>
          <w:highlight w:val="none"/>
          <w:u w:val="none"/>
        </w:rPr>
        <w:t>台（套）。</w:t>
      </w:r>
    </w:p>
    <w:tbl>
      <w:tblPr>
        <w:tblStyle w:val="4"/>
        <w:tblW w:w="8900" w:type="dxa"/>
        <w:tblInd w:w="93" w:type="dxa"/>
        <w:tblLayout w:type="fixed"/>
        <w:tblCellMar>
          <w:top w:w="0" w:type="dxa"/>
          <w:left w:w="108" w:type="dxa"/>
          <w:bottom w:w="0" w:type="dxa"/>
          <w:right w:w="108" w:type="dxa"/>
        </w:tblCellMar>
      </w:tblPr>
      <w:tblGrid>
        <w:gridCol w:w="3449"/>
        <w:gridCol w:w="2081"/>
        <w:gridCol w:w="3370"/>
      </w:tblGrid>
      <w:tr>
        <w:tblPrEx>
          <w:tblLayout w:type="fixed"/>
          <w:tblCellMar>
            <w:top w:w="0" w:type="dxa"/>
            <w:left w:w="108" w:type="dxa"/>
            <w:bottom w:w="0" w:type="dxa"/>
            <w:right w:w="108" w:type="dxa"/>
          </w:tblCellMar>
        </w:tblPrEx>
        <w:trPr>
          <w:trHeight w:val="575" w:hRule="atLeast"/>
        </w:trPr>
        <w:tc>
          <w:tcPr>
            <w:tcW w:w="8900" w:type="dxa"/>
            <w:gridSpan w:val="3"/>
            <w:tcBorders>
              <w:top w:val="nil"/>
              <w:left w:val="nil"/>
              <w:bottom w:val="nil"/>
              <w:right w:val="nil"/>
            </w:tcBorders>
            <w:vAlign w:val="center"/>
          </w:tcPr>
          <w:p>
            <w:pPr>
              <w:widowControl/>
              <w:spacing w:line="560" w:lineRule="exact"/>
              <w:ind w:firstLine="562" w:firstLineChars="200"/>
              <w:jc w:val="center"/>
              <w:rPr>
                <w:rFonts w:hint="eastAsia" w:ascii="仿宋" w:hAnsi="仿宋" w:eastAsia="仿宋" w:cs="仿宋"/>
                <w:b/>
                <w:bCs/>
                <w:color w:val="auto"/>
                <w:kern w:val="0"/>
                <w:sz w:val="28"/>
                <w:szCs w:val="28"/>
                <w:highlight w:val="none"/>
                <w:u w:val="none"/>
              </w:rPr>
            </w:pPr>
            <w:r>
              <w:rPr>
                <w:rFonts w:hint="eastAsia" w:ascii="仿宋" w:hAnsi="仿宋" w:eastAsia="仿宋" w:cs="仿宋"/>
                <w:b/>
                <w:bCs/>
                <w:color w:val="auto"/>
                <w:kern w:val="0"/>
                <w:sz w:val="28"/>
                <w:szCs w:val="28"/>
                <w:highlight w:val="none"/>
                <w:u w:val="none"/>
              </w:rPr>
              <w:t>霸州市卫生和计划生育局部门固定资产占用情况表</w:t>
            </w:r>
          </w:p>
        </w:tc>
      </w:tr>
      <w:tr>
        <w:tblPrEx>
          <w:tblLayout w:type="fixed"/>
          <w:tblCellMar>
            <w:top w:w="0" w:type="dxa"/>
            <w:left w:w="108" w:type="dxa"/>
            <w:bottom w:w="0" w:type="dxa"/>
            <w:right w:w="108" w:type="dxa"/>
          </w:tblCellMar>
        </w:tblPrEx>
        <w:trPr>
          <w:trHeight w:val="493" w:hRule="atLeast"/>
        </w:trPr>
        <w:tc>
          <w:tcPr>
            <w:tcW w:w="5530" w:type="dxa"/>
            <w:gridSpan w:val="2"/>
            <w:tcBorders>
              <w:top w:val="nil"/>
              <w:left w:val="nil"/>
              <w:bottom w:val="nil"/>
              <w:right w:val="nil"/>
            </w:tcBorders>
            <w:vAlign w:val="center"/>
          </w:tcPr>
          <w:p>
            <w:pPr>
              <w:widowControl/>
              <w:spacing w:line="560" w:lineRule="exact"/>
              <w:ind w:firstLine="440" w:firstLineChars="200"/>
              <w:rPr>
                <w:rFonts w:hint="eastAsia" w:ascii="仿宋" w:hAnsi="仿宋" w:eastAsia="仿宋" w:cs="仿宋"/>
                <w:color w:val="auto"/>
                <w:kern w:val="0"/>
                <w:sz w:val="22"/>
                <w:highlight w:val="none"/>
                <w:u w:val="none"/>
              </w:rPr>
            </w:pPr>
            <w:r>
              <w:rPr>
                <w:rFonts w:hint="eastAsia" w:ascii="仿宋" w:hAnsi="仿宋" w:eastAsia="仿宋" w:cs="仿宋"/>
                <w:color w:val="auto"/>
                <w:kern w:val="0"/>
                <w:sz w:val="22"/>
                <w:highlight w:val="none"/>
                <w:u w:val="none"/>
              </w:rPr>
              <w:t>编制部门：</w:t>
            </w:r>
            <w:r>
              <w:rPr>
                <w:rFonts w:hint="eastAsia" w:ascii="仿宋" w:hAnsi="仿宋" w:eastAsia="仿宋" w:cs="仿宋"/>
                <w:color w:val="auto"/>
                <w:kern w:val="0"/>
                <w:sz w:val="22"/>
                <w:highlight w:val="none"/>
                <w:u w:val="none"/>
                <w:lang w:val="en-US" w:eastAsia="zh-CN"/>
              </w:rPr>
              <w:t>800</w:t>
            </w:r>
            <w:r>
              <w:rPr>
                <w:rFonts w:hint="eastAsia" w:ascii="仿宋" w:hAnsi="仿宋" w:eastAsia="仿宋" w:cs="仿宋"/>
                <w:color w:val="auto"/>
                <w:kern w:val="0"/>
                <w:sz w:val="22"/>
                <w:highlight w:val="none"/>
                <w:u w:val="none"/>
              </w:rPr>
              <w:t>霸州市卫生和计划生育局</w:t>
            </w:r>
          </w:p>
        </w:tc>
        <w:tc>
          <w:tcPr>
            <w:tcW w:w="3370" w:type="dxa"/>
            <w:tcBorders>
              <w:top w:val="nil"/>
              <w:left w:val="nil"/>
              <w:bottom w:val="nil"/>
              <w:right w:val="nil"/>
            </w:tcBorders>
            <w:vAlign w:val="center"/>
          </w:tcPr>
          <w:p>
            <w:pPr>
              <w:widowControl/>
              <w:spacing w:line="560" w:lineRule="exact"/>
              <w:rPr>
                <w:rFonts w:hint="eastAsia" w:ascii="仿宋" w:hAnsi="仿宋" w:eastAsia="仿宋" w:cs="仿宋"/>
                <w:color w:val="auto"/>
                <w:kern w:val="0"/>
                <w:sz w:val="22"/>
                <w:highlight w:val="none"/>
                <w:u w:val="none"/>
              </w:rPr>
            </w:pPr>
            <w:r>
              <w:rPr>
                <w:rFonts w:hint="eastAsia" w:ascii="仿宋" w:hAnsi="仿宋" w:eastAsia="仿宋" w:cs="仿宋"/>
                <w:color w:val="auto"/>
                <w:kern w:val="0"/>
                <w:sz w:val="22"/>
                <w:highlight w:val="none"/>
                <w:u w:val="none"/>
              </w:rPr>
              <w:t>截止时间：2017年12月31日</w:t>
            </w:r>
          </w:p>
        </w:tc>
      </w:tr>
      <w:tr>
        <w:tblPrEx>
          <w:tblLayout w:type="fixed"/>
          <w:tblCellMar>
            <w:top w:w="0" w:type="dxa"/>
            <w:left w:w="108" w:type="dxa"/>
            <w:bottom w:w="0" w:type="dxa"/>
            <w:right w:w="108" w:type="dxa"/>
          </w:tblCellMar>
        </w:tblPrEx>
        <w:trPr>
          <w:trHeight w:val="571" w:hRule="atLeast"/>
        </w:trPr>
        <w:tc>
          <w:tcPr>
            <w:tcW w:w="3449" w:type="dxa"/>
            <w:tcBorders>
              <w:top w:val="single" w:color="auto" w:sz="4" w:space="0"/>
              <w:left w:val="single" w:color="auto" w:sz="4" w:space="0"/>
              <w:bottom w:val="single" w:color="auto" w:sz="4" w:space="0"/>
              <w:right w:val="single" w:color="auto" w:sz="4" w:space="0"/>
            </w:tcBorders>
            <w:vAlign w:val="center"/>
          </w:tcPr>
          <w:p>
            <w:pPr>
              <w:widowControl/>
              <w:spacing w:line="560" w:lineRule="exact"/>
              <w:ind w:left="0" w:leftChars="0" w:right="0" w:rightChars="0" w:firstLine="0" w:firstLineChars="0"/>
              <w:jc w:val="center"/>
              <w:rPr>
                <w:rFonts w:hint="eastAsia" w:ascii="仿宋" w:hAnsi="仿宋" w:eastAsia="仿宋" w:cs="仿宋"/>
                <w:b/>
                <w:bCs/>
                <w:color w:val="auto"/>
                <w:kern w:val="0"/>
                <w:sz w:val="22"/>
                <w:highlight w:val="none"/>
                <w:u w:val="none"/>
              </w:rPr>
            </w:pPr>
            <w:r>
              <w:rPr>
                <w:rFonts w:hint="eastAsia" w:ascii="仿宋" w:hAnsi="仿宋" w:eastAsia="仿宋" w:cs="仿宋"/>
                <w:b/>
                <w:bCs/>
                <w:color w:val="auto"/>
                <w:kern w:val="0"/>
                <w:sz w:val="22"/>
                <w:highlight w:val="none"/>
                <w:u w:val="none"/>
              </w:rPr>
              <w:t>项  目</w:t>
            </w:r>
          </w:p>
        </w:tc>
        <w:tc>
          <w:tcPr>
            <w:tcW w:w="2081" w:type="dxa"/>
            <w:tcBorders>
              <w:top w:val="single" w:color="auto" w:sz="4" w:space="0"/>
              <w:left w:val="nil"/>
              <w:bottom w:val="single" w:color="auto" w:sz="4" w:space="0"/>
              <w:right w:val="single" w:color="auto" w:sz="4" w:space="0"/>
            </w:tcBorders>
            <w:vAlign w:val="center"/>
          </w:tcPr>
          <w:p>
            <w:pPr>
              <w:widowControl/>
              <w:spacing w:line="560" w:lineRule="exact"/>
              <w:ind w:left="0" w:leftChars="0" w:right="0" w:rightChars="0" w:firstLine="0" w:firstLineChars="0"/>
              <w:jc w:val="center"/>
              <w:rPr>
                <w:rFonts w:hint="eastAsia" w:ascii="仿宋" w:hAnsi="仿宋" w:eastAsia="仿宋" w:cs="仿宋"/>
                <w:b/>
                <w:bCs/>
                <w:color w:val="auto"/>
                <w:kern w:val="0"/>
                <w:sz w:val="22"/>
                <w:highlight w:val="none"/>
                <w:u w:val="none"/>
              </w:rPr>
            </w:pPr>
            <w:r>
              <w:rPr>
                <w:rFonts w:hint="eastAsia" w:ascii="仿宋" w:hAnsi="仿宋" w:eastAsia="仿宋" w:cs="仿宋"/>
                <w:b/>
                <w:bCs/>
                <w:color w:val="auto"/>
                <w:kern w:val="0"/>
                <w:sz w:val="22"/>
                <w:highlight w:val="none"/>
                <w:u w:val="none"/>
              </w:rPr>
              <w:t>数量</w:t>
            </w:r>
          </w:p>
        </w:tc>
        <w:tc>
          <w:tcPr>
            <w:tcW w:w="3370" w:type="dxa"/>
            <w:tcBorders>
              <w:top w:val="single" w:color="auto" w:sz="4" w:space="0"/>
              <w:left w:val="nil"/>
              <w:bottom w:val="single" w:color="auto" w:sz="4" w:space="0"/>
              <w:right w:val="single" w:color="auto" w:sz="4" w:space="0"/>
            </w:tcBorders>
            <w:vAlign w:val="center"/>
          </w:tcPr>
          <w:p>
            <w:pPr>
              <w:widowControl/>
              <w:spacing w:line="560" w:lineRule="exact"/>
              <w:ind w:left="0" w:leftChars="0" w:right="0" w:rightChars="0" w:firstLine="0" w:firstLineChars="0"/>
              <w:jc w:val="center"/>
              <w:rPr>
                <w:rFonts w:hint="eastAsia" w:ascii="仿宋" w:hAnsi="仿宋" w:eastAsia="仿宋" w:cs="仿宋"/>
                <w:b/>
                <w:bCs/>
                <w:color w:val="auto"/>
                <w:kern w:val="0"/>
                <w:sz w:val="22"/>
                <w:highlight w:val="none"/>
                <w:u w:val="none"/>
              </w:rPr>
            </w:pPr>
            <w:r>
              <w:rPr>
                <w:rFonts w:hint="eastAsia" w:ascii="仿宋" w:hAnsi="仿宋" w:eastAsia="仿宋" w:cs="仿宋"/>
                <w:b/>
                <w:bCs/>
                <w:color w:val="auto"/>
                <w:kern w:val="0"/>
                <w:sz w:val="22"/>
                <w:highlight w:val="none"/>
                <w:u w:val="none"/>
              </w:rPr>
              <w:t>价值（金额单位：万元）</w:t>
            </w:r>
          </w:p>
        </w:tc>
      </w:tr>
      <w:tr>
        <w:tblPrEx>
          <w:tblLayout w:type="fixed"/>
          <w:tblCellMar>
            <w:top w:w="0" w:type="dxa"/>
            <w:left w:w="108" w:type="dxa"/>
            <w:bottom w:w="0" w:type="dxa"/>
            <w:right w:w="108" w:type="dxa"/>
          </w:tblCellMar>
        </w:tblPrEx>
        <w:trPr>
          <w:trHeight w:val="571" w:hRule="atLeast"/>
        </w:trPr>
        <w:tc>
          <w:tcPr>
            <w:tcW w:w="3449" w:type="dxa"/>
            <w:tcBorders>
              <w:top w:val="nil"/>
              <w:left w:val="single" w:color="auto" w:sz="4" w:space="0"/>
              <w:bottom w:val="single" w:color="auto" w:sz="4" w:space="0"/>
              <w:right w:val="single" w:color="auto" w:sz="4" w:space="0"/>
            </w:tcBorders>
            <w:vAlign w:val="center"/>
          </w:tcPr>
          <w:p>
            <w:pPr>
              <w:widowControl/>
              <w:spacing w:line="560" w:lineRule="exact"/>
              <w:ind w:firstLine="440" w:firstLineChars="200"/>
              <w:rPr>
                <w:rFonts w:hint="eastAsia" w:ascii="仿宋" w:hAnsi="仿宋" w:eastAsia="仿宋" w:cs="仿宋"/>
                <w:color w:val="auto"/>
                <w:kern w:val="0"/>
                <w:sz w:val="22"/>
                <w:highlight w:val="none"/>
                <w:u w:val="none"/>
              </w:rPr>
            </w:pPr>
            <w:r>
              <w:rPr>
                <w:rFonts w:hint="eastAsia" w:ascii="仿宋" w:hAnsi="仿宋" w:eastAsia="仿宋" w:cs="仿宋"/>
                <w:color w:val="auto"/>
                <w:kern w:val="0"/>
                <w:sz w:val="22"/>
                <w:highlight w:val="none"/>
                <w:u w:val="none"/>
              </w:rPr>
              <w:t>资产总额</w:t>
            </w:r>
          </w:p>
        </w:tc>
        <w:tc>
          <w:tcPr>
            <w:tcW w:w="2081" w:type="dxa"/>
            <w:tcBorders>
              <w:top w:val="nil"/>
              <w:left w:val="nil"/>
              <w:bottom w:val="single" w:color="auto" w:sz="4" w:space="0"/>
              <w:right w:val="single" w:color="auto" w:sz="4" w:space="0"/>
            </w:tcBorders>
            <w:vAlign w:val="center"/>
          </w:tcPr>
          <w:p>
            <w:pPr>
              <w:widowControl/>
              <w:spacing w:line="560" w:lineRule="exact"/>
              <w:ind w:firstLine="440" w:firstLineChars="200"/>
              <w:rPr>
                <w:rFonts w:hint="eastAsia" w:ascii="仿宋" w:hAnsi="仿宋" w:eastAsia="仿宋" w:cs="仿宋"/>
                <w:color w:val="auto"/>
                <w:kern w:val="0"/>
                <w:sz w:val="22"/>
                <w:highlight w:val="none"/>
                <w:u w:val="none"/>
              </w:rPr>
            </w:pPr>
            <w:r>
              <w:rPr>
                <w:rFonts w:hint="eastAsia" w:ascii="仿宋" w:hAnsi="仿宋" w:eastAsia="仿宋" w:cs="仿宋"/>
                <w:color w:val="auto"/>
                <w:kern w:val="0"/>
                <w:sz w:val="22"/>
                <w:highlight w:val="none"/>
                <w:u w:val="none"/>
              </w:rPr>
              <w:t>——</w:t>
            </w:r>
          </w:p>
        </w:tc>
        <w:tc>
          <w:tcPr>
            <w:tcW w:w="3370" w:type="dxa"/>
            <w:tcBorders>
              <w:top w:val="nil"/>
              <w:left w:val="nil"/>
              <w:bottom w:val="single" w:color="auto" w:sz="4" w:space="0"/>
              <w:right w:val="single" w:color="auto" w:sz="4" w:space="0"/>
            </w:tcBorders>
            <w:vAlign w:val="center"/>
          </w:tcPr>
          <w:p>
            <w:pPr>
              <w:widowControl/>
              <w:spacing w:line="560" w:lineRule="exact"/>
              <w:ind w:left="0" w:leftChars="0" w:right="0" w:rightChars="0" w:firstLine="0" w:firstLineChars="0"/>
              <w:jc w:val="center"/>
              <w:rPr>
                <w:rFonts w:hint="eastAsia" w:ascii="仿宋" w:hAnsi="仿宋" w:eastAsia="仿宋" w:cs="仿宋"/>
                <w:color w:val="auto"/>
                <w:kern w:val="0"/>
                <w:sz w:val="22"/>
                <w:highlight w:val="none"/>
                <w:u w:val="none"/>
                <w:lang w:val="en-US" w:eastAsia="zh-CN"/>
              </w:rPr>
            </w:pPr>
            <w:r>
              <w:rPr>
                <w:rFonts w:hint="eastAsia" w:ascii="仿宋" w:hAnsi="仿宋" w:eastAsia="仿宋" w:cs="仿宋"/>
                <w:color w:val="auto"/>
                <w:kern w:val="0"/>
                <w:sz w:val="22"/>
                <w:highlight w:val="none"/>
                <w:u w:val="none"/>
                <w:lang w:val="en-US" w:eastAsia="zh-CN"/>
              </w:rPr>
              <w:t>69140.41</w:t>
            </w:r>
          </w:p>
        </w:tc>
      </w:tr>
      <w:tr>
        <w:tblPrEx>
          <w:tblLayout w:type="fixed"/>
          <w:tblCellMar>
            <w:top w:w="0" w:type="dxa"/>
            <w:left w:w="108" w:type="dxa"/>
            <w:bottom w:w="0" w:type="dxa"/>
            <w:right w:w="108" w:type="dxa"/>
          </w:tblCellMar>
        </w:tblPrEx>
        <w:trPr>
          <w:trHeight w:val="571" w:hRule="atLeast"/>
        </w:trPr>
        <w:tc>
          <w:tcPr>
            <w:tcW w:w="3449" w:type="dxa"/>
            <w:tcBorders>
              <w:top w:val="nil"/>
              <w:left w:val="single" w:color="auto" w:sz="4" w:space="0"/>
              <w:bottom w:val="single" w:color="auto" w:sz="4" w:space="0"/>
              <w:right w:val="single" w:color="auto" w:sz="4" w:space="0"/>
            </w:tcBorders>
            <w:vAlign w:val="center"/>
          </w:tcPr>
          <w:p>
            <w:pPr>
              <w:widowControl/>
              <w:spacing w:line="560" w:lineRule="exact"/>
              <w:ind w:firstLine="440" w:firstLineChars="200"/>
              <w:rPr>
                <w:rFonts w:hint="eastAsia" w:ascii="仿宋" w:hAnsi="仿宋" w:eastAsia="仿宋" w:cs="仿宋"/>
                <w:color w:val="auto"/>
                <w:kern w:val="0"/>
                <w:sz w:val="22"/>
                <w:highlight w:val="none"/>
                <w:u w:val="none"/>
              </w:rPr>
            </w:pPr>
            <w:r>
              <w:rPr>
                <w:rFonts w:hint="eastAsia" w:ascii="仿宋" w:hAnsi="仿宋" w:eastAsia="仿宋" w:cs="仿宋"/>
                <w:color w:val="auto"/>
                <w:kern w:val="0"/>
                <w:sz w:val="22"/>
                <w:highlight w:val="none"/>
                <w:u w:val="none"/>
              </w:rPr>
              <w:t>1、房屋（平方米）</w:t>
            </w:r>
          </w:p>
        </w:tc>
        <w:tc>
          <w:tcPr>
            <w:tcW w:w="208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color w:val="auto"/>
                <w:kern w:val="0"/>
                <w:sz w:val="22"/>
                <w:highlight w:val="none"/>
                <w:u w:val="none"/>
              </w:rPr>
            </w:pPr>
            <w:r>
              <w:rPr>
                <w:rFonts w:hint="eastAsia" w:ascii="仿宋" w:hAnsi="仿宋" w:eastAsia="仿宋" w:cs="仿宋"/>
                <w:i w:val="0"/>
                <w:color w:val="auto"/>
                <w:kern w:val="0"/>
                <w:sz w:val="22"/>
                <w:szCs w:val="22"/>
                <w:highlight w:val="none"/>
                <w:u w:val="none"/>
                <w:lang w:val="en-US" w:eastAsia="zh-CN" w:bidi="ar"/>
              </w:rPr>
              <w:t>100,411.18</w:t>
            </w:r>
          </w:p>
        </w:tc>
        <w:tc>
          <w:tcPr>
            <w:tcW w:w="3370" w:type="dxa"/>
            <w:tcBorders>
              <w:top w:val="nil"/>
              <w:left w:val="nil"/>
              <w:bottom w:val="single" w:color="auto" w:sz="4" w:space="0"/>
              <w:right w:val="single" w:color="auto" w:sz="4" w:space="0"/>
            </w:tcBorders>
            <w:vAlign w:val="center"/>
          </w:tcPr>
          <w:p>
            <w:pPr>
              <w:widowControl/>
              <w:spacing w:line="560" w:lineRule="exact"/>
              <w:ind w:left="0" w:leftChars="0" w:right="0" w:rightChars="0" w:firstLine="0" w:firstLineChars="0"/>
              <w:jc w:val="center"/>
              <w:rPr>
                <w:rFonts w:hint="eastAsia" w:ascii="仿宋" w:hAnsi="仿宋" w:eastAsia="仿宋" w:cs="仿宋"/>
                <w:color w:val="auto"/>
                <w:kern w:val="0"/>
                <w:sz w:val="22"/>
                <w:highlight w:val="none"/>
                <w:u w:val="none"/>
                <w:lang w:val="en-US" w:eastAsia="zh-CN"/>
              </w:rPr>
            </w:pPr>
            <w:r>
              <w:rPr>
                <w:rFonts w:hint="eastAsia" w:ascii="仿宋" w:hAnsi="仿宋" w:eastAsia="仿宋" w:cs="仿宋"/>
                <w:color w:val="auto"/>
                <w:kern w:val="0"/>
                <w:sz w:val="22"/>
                <w:highlight w:val="none"/>
                <w:u w:val="none"/>
                <w:lang w:val="en-US" w:eastAsia="zh-CN"/>
              </w:rPr>
              <w:t>16297.92</w:t>
            </w:r>
          </w:p>
        </w:tc>
      </w:tr>
      <w:tr>
        <w:tblPrEx>
          <w:tblLayout w:type="fixed"/>
          <w:tblCellMar>
            <w:top w:w="0" w:type="dxa"/>
            <w:left w:w="108" w:type="dxa"/>
            <w:bottom w:w="0" w:type="dxa"/>
            <w:right w:w="108" w:type="dxa"/>
          </w:tblCellMar>
        </w:tblPrEx>
        <w:trPr>
          <w:trHeight w:val="571" w:hRule="atLeast"/>
        </w:trPr>
        <w:tc>
          <w:tcPr>
            <w:tcW w:w="3449" w:type="dxa"/>
            <w:tcBorders>
              <w:top w:val="nil"/>
              <w:left w:val="single" w:color="auto" w:sz="4" w:space="0"/>
              <w:bottom w:val="single" w:color="auto" w:sz="4" w:space="0"/>
              <w:right w:val="single" w:color="auto" w:sz="4" w:space="0"/>
            </w:tcBorders>
            <w:vAlign w:val="center"/>
          </w:tcPr>
          <w:p>
            <w:pPr>
              <w:widowControl/>
              <w:spacing w:line="560" w:lineRule="exact"/>
              <w:ind w:firstLine="440" w:firstLineChars="200"/>
              <w:rPr>
                <w:rFonts w:hint="eastAsia" w:ascii="仿宋" w:hAnsi="仿宋" w:eastAsia="仿宋" w:cs="仿宋"/>
                <w:color w:val="auto"/>
                <w:kern w:val="0"/>
                <w:sz w:val="22"/>
                <w:highlight w:val="none"/>
                <w:u w:val="none"/>
              </w:rPr>
            </w:pPr>
            <w:r>
              <w:rPr>
                <w:rFonts w:hint="eastAsia" w:ascii="仿宋" w:hAnsi="仿宋" w:eastAsia="仿宋" w:cs="仿宋"/>
                <w:color w:val="auto"/>
                <w:kern w:val="0"/>
                <w:sz w:val="22"/>
                <w:highlight w:val="none"/>
                <w:u w:val="none"/>
              </w:rPr>
              <w:t xml:space="preserve">    其中：办公用房（平方米）</w:t>
            </w:r>
          </w:p>
        </w:tc>
        <w:tc>
          <w:tcPr>
            <w:tcW w:w="208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color w:val="auto"/>
                <w:kern w:val="0"/>
                <w:sz w:val="22"/>
                <w:highlight w:val="none"/>
                <w:u w:val="none"/>
              </w:rPr>
            </w:pPr>
            <w:r>
              <w:rPr>
                <w:rFonts w:hint="eastAsia" w:ascii="仿宋" w:hAnsi="仿宋" w:eastAsia="仿宋" w:cs="仿宋"/>
                <w:i w:val="0"/>
                <w:color w:val="auto"/>
                <w:kern w:val="0"/>
                <w:sz w:val="22"/>
                <w:szCs w:val="22"/>
                <w:highlight w:val="none"/>
                <w:u w:val="none"/>
                <w:lang w:val="en-US" w:eastAsia="zh-CN" w:bidi="ar"/>
              </w:rPr>
              <w:t>47,930.95</w:t>
            </w:r>
          </w:p>
        </w:tc>
        <w:tc>
          <w:tcPr>
            <w:tcW w:w="3370" w:type="dxa"/>
            <w:tcBorders>
              <w:top w:val="nil"/>
              <w:left w:val="nil"/>
              <w:bottom w:val="single" w:color="auto" w:sz="4" w:space="0"/>
              <w:right w:val="single" w:color="auto" w:sz="4" w:space="0"/>
            </w:tcBorders>
            <w:vAlign w:val="center"/>
          </w:tcPr>
          <w:p>
            <w:pPr>
              <w:widowControl/>
              <w:spacing w:line="560" w:lineRule="exact"/>
              <w:ind w:left="0" w:leftChars="0" w:right="0" w:rightChars="0" w:firstLine="0" w:firstLineChars="0"/>
              <w:jc w:val="center"/>
              <w:rPr>
                <w:rFonts w:hint="eastAsia" w:ascii="仿宋" w:hAnsi="仿宋" w:eastAsia="仿宋" w:cs="仿宋"/>
                <w:color w:val="auto"/>
                <w:kern w:val="0"/>
                <w:sz w:val="22"/>
                <w:highlight w:val="none"/>
                <w:u w:val="none"/>
                <w:lang w:val="en-US" w:eastAsia="zh-CN"/>
              </w:rPr>
            </w:pPr>
            <w:r>
              <w:rPr>
                <w:rFonts w:hint="eastAsia" w:ascii="仿宋" w:hAnsi="仿宋" w:eastAsia="仿宋" w:cs="仿宋"/>
                <w:color w:val="auto"/>
                <w:kern w:val="0"/>
                <w:sz w:val="22"/>
                <w:highlight w:val="none"/>
                <w:u w:val="none"/>
                <w:lang w:val="en-US" w:eastAsia="zh-CN"/>
              </w:rPr>
              <w:t>10302.90</w:t>
            </w:r>
          </w:p>
        </w:tc>
      </w:tr>
      <w:tr>
        <w:tblPrEx>
          <w:tblLayout w:type="fixed"/>
          <w:tblCellMar>
            <w:top w:w="0" w:type="dxa"/>
            <w:left w:w="108" w:type="dxa"/>
            <w:bottom w:w="0" w:type="dxa"/>
            <w:right w:w="108" w:type="dxa"/>
          </w:tblCellMar>
        </w:tblPrEx>
        <w:trPr>
          <w:trHeight w:val="571" w:hRule="atLeast"/>
        </w:trPr>
        <w:tc>
          <w:tcPr>
            <w:tcW w:w="3449" w:type="dxa"/>
            <w:tcBorders>
              <w:top w:val="nil"/>
              <w:left w:val="single" w:color="auto" w:sz="4" w:space="0"/>
              <w:bottom w:val="single" w:color="auto" w:sz="4" w:space="0"/>
              <w:right w:val="single" w:color="auto" w:sz="4" w:space="0"/>
            </w:tcBorders>
            <w:vAlign w:val="center"/>
          </w:tcPr>
          <w:p>
            <w:pPr>
              <w:widowControl/>
              <w:spacing w:line="560" w:lineRule="exact"/>
              <w:ind w:firstLine="440" w:firstLineChars="200"/>
              <w:rPr>
                <w:rFonts w:hint="eastAsia" w:ascii="仿宋" w:hAnsi="仿宋" w:eastAsia="仿宋" w:cs="仿宋"/>
                <w:color w:val="auto"/>
                <w:kern w:val="0"/>
                <w:sz w:val="22"/>
                <w:highlight w:val="none"/>
                <w:u w:val="none"/>
              </w:rPr>
            </w:pPr>
            <w:r>
              <w:rPr>
                <w:rFonts w:hint="eastAsia" w:ascii="仿宋" w:hAnsi="仿宋" w:eastAsia="仿宋" w:cs="仿宋"/>
                <w:color w:val="auto"/>
                <w:kern w:val="0"/>
                <w:sz w:val="22"/>
                <w:highlight w:val="none"/>
                <w:u w:val="none"/>
              </w:rPr>
              <w:t>2、车辆（台、辆）</w:t>
            </w:r>
          </w:p>
        </w:tc>
        <w:tc>
          <w:tcPr>
            <w:tcW w:w="2081" w:type="dxa"/>
            <w:tcBorders>
              <w:top w:val="nil"/>
              <w:left w:val="nil"/>
              <w:bottom w:val="single" w:color="auto" w:sz="4" w:space="0"/>
              <w:right w:val="single" w:color="auto" w:sz="4" w:space="0"/>
            </w:tcBorders>
            <w:vAlign w:val="center"/>
          </w:tcPr>
          <w:p>
            <w:pPr>
              <w:widowControl/>
              <w:spacing w:line="560" w:lineRule="exact"/>
              <w:ind w:firstLine="440" w:firstLineChars="200"/>
              <w:jc w:val="center"/>
              <w:rPr>
                <w:rFonts w:hint="eastAsia" w:ascii="仿宋" w:hAnsi="仿宋" w:eastAsia="仿宋" w:cs="仿宋"/>
                <w:color w:val="auto"/>
                <w:kern w:val="0"/>
                <w:sz w:val="22"/>
                <w:highlight w:val="none"/>
                <w:u w:val="none"/>
                <w:lang w:val="en-US" w:eastAsia="zh-CN"/>
              </w:rPr>
            </w:pPr>
            <w:r>
              <w:rPr>
                <w:rFonts w:hint="eastAsia" w:ascii="仿宋" w:hAnsi="仿宋" w:eastAsia="仿宋" w:cs="仿宋"/>
                <w:color w:val="auto"/>
                <w:kern w:val="0"/>
                <w:sz w:val="22"/>
                <w:highlight w:val="none"/>
                <w:u w:val="none"/>
                <w:lang w:val="en-US" w:eastAsia="zh-CN"/>
              </w:rPr>
              <w:t>74</w:t>
            </w:r>
          </w:p>
        </w:tc>
        <w:tc>
          <w:tcPr>
            <w:tcW w:w="3370" w:type="dxa"/>
            <w:tcBorders>
              <w:top w:val="nil"/>
              <w:left w:val="nil"/>
              <w:bottom w:val="single" w:color="auto" w:sz="4" w:space="0"/>
              <w:right w:val="single" w:color="auto" w:sz="4" w:space="0"/>
            </w:tcBorders>
            <w:vAlign w:val="center"/>
          </w:tcPr>
          <w:p>
            <w:pPr>
              <w:widowControl/>
              <w:spacing w:line="560" w:lineRule="exact"/>
              <w:ind w:left="0" w:leftChars="0" w:right="0" w:rightChars="0" w:firstLine="0" w:firstLineChars="0"/>
              <w:jc w:val="center"/>
              <w:rPr>
                <w:rFonts w:hint="eastAsia" w:ascii="仿宋" w:hAnsi="仿宋" w:eastAsia="仿宋" w:cs="仿宋"/>
                <w:color w:val="auto"/>
                <w:kern w:val="0"/>
                <w:sz w:val="22"/>
                <w:highlight w:val="none"/>
                <w:u w:val="none"/>
                <w:lang w:val="en-US" w:eastAsia="zh-CN"/>
              </w:rPr>
            </w:pPr>
            <w:r>
              <w:rPr>
                <w:rFonts w:hint="eastAsia" w:ascii="仿宋" w:hAnsi="仿宋" w:eastAsia="仿宋" w:cs="仿宋"/>
                <w:color w:val="auto"/>
                <w:kern w:val="0"/>
                <w:sz w:val="22"/>
                <w:highlight w:val="none"/>
                <w:u w:val="none"/>
                <w:lang w:val="en-US" w:eastAsia="zh-CN"/>
              </w:rPr>
              <w:t>1469.70</w:t>
            </w:r>
          </w:p>
        </w:tc>
      </w:tr>
      <w:tr>
        <w:tblPrEx>
          <w:tblLayout w:type="fixed"/>
          <w:tblCellMar>
            <w:top w:w="0" w:type="dxa"/>
            <w:left w:w="108" w:type="dxa"/>
            <w:bottom w:w="0" w:type="dxa"/>
            <w:right w:w="108" w:type="dxa"/>
          </w:tblCellMar>
        </w:tblPrEx>
        <w:trPr>
          <w:trHeight w:val="571" w:hRule="atLeast"/>
        </w:trPr>
        <w:tc>
          <w:tcPr>
            <w:tcW w:w="3449" w:type="dxa"/>
            <w:tcBorders>
              <w:top w:val="nil"/>
              <w:left w:val="single" w:color="auto" w:sz="4" w:space="0"/>
              <w:bottom w:val="single" w:color="auto" w:sz="4" w:space="0"/>
              <w:right w:val="single" w:color="auto" w:sz="4" w:space="0"/>
            </w:tcBorders>
            <w:vAlign w:val="center"/>
          </w:tcPr>
          <w:p>
            <w:pPr>
              <w:widowControl/>
              <w:spacing w:line="560" w:lineRule="exact"/>
              <w:ind w:firstLine="440" w:firstLineChars="200"/>
              <w:rPr>
                <w:rFonts w:hint="eastAsia" w:ascii="仿宋" w:hAnsi="仿宋" w:eastAsia="仿宋" w:cs="仿宋"/>
                <w:color w:val="auto"/>
                <w:kern w:val="0"/>
                <w:sz w:val="22"/>
                <w:highlight w:val="none"/>
                <w:u w:val="none"/>
              </w:rPr>
            </w:pPr>
            <w:r>
              <w:rPr>
                <w:rFonts w:hint="eastAsia" w:ascii="仿宋" w:hAnsi="仿宋" w:eastAsia="仿宋" w:cs="仿宋"/>
                <w:color w:val="auto"/>
                <w:kern w:val="0"/>
                <w:sz w:val="22"/>
                <w:highlight w:val="none"/>
                <w:u w:val="none"/>
              </w:rPr>
              <w:t>3、单价在50万元以上的设备</w:t>
            </w:r>
          </w:p>
        </w:tc>
        <w:tc>
          <w:tcPr>
            <w:tcW w:w="2081" w:type="dxa"/>
            <w:tcBorders>
              <w:top w:val="nil"/>
              <w:left w:val="nil"/>
              <w:bottom w:val="single" w:color="auto" w:sz="4" w:space="0"/>
              <w:right w:val="single" w:color="auto" w:sz="4" w:space="0"/>
            </w:tcBorders>
            <w:vAlign w:val="center"/>
          </w:tcPr>
          <w:p>
            <w:pPr>
              <w:widowControl/>
              <w:spacing w:line="560" w:lineRule="exact"/>
              <w:ind w:firstLine="440" w:firstLineChars="200"/>
              <w:jc w:val="center"/>
              <w:rPr>
                <w:rFonts w:hint="eastAsia" w:ascii="仿宋" w:hAnsi="仿宋" w:eastAsia="仿宋" w:cs="仿宋"/>
                <w:color w:val="auto"/>
                <w:kern w:val="0"/>
                <w:sz w:val="22"/>
                <w:highlight w:val="none"/>
                <w:u w:val="none"/>
                <w:lang w:val="en-US" w:eastAsia="zh-CN"/>
              </w:rPr>
            </w:pPr>
            <w:r>
              <w:rPr>
                <w:rFonts w:hint="eastAsia" w:ascii="仿宋" w:hAnsi="仿宋" w:eastAsia="仿宋" w:cs="仿宋"/>
                <w:color w:val="auto"/>
                <w:kern w:val="0"/>
                <w:sz w:val="22"/>
                <w:highlight w:val="none"/>
                <w:u w:val="none"/>
                <w:lang w:val="en-US" w:eastAsia="zh-CN"/>
              </w:rPr>
              <w:t>76</w:t>
            </w:r>
          </w:p>
        </w:tc>
        <w:tc>
          <w:tcPr>
            <w:tcW w:w="3370" w:type="dxa"/>
            <w:tcBorders>
              <w:top w:val="nil"/>
              <w:left w:val="nil"/>
              <w:bottom w:val="single" w:color="auto" w:sz="4" w:space="0"/>
              <w:right w:val="single" w:color="auto" w:sz="4" w:space="0"/>
            </w:tcBorders>
            <w:vAlign w:val="center"/>
          </w:tcPr>
          <w:p>
            <w:pPr>
              <w:widowControl/>
              <w:spacing w:line="560" w:lineRule="exact"/>
              <w:ind w:left="0" w:leftChars="0" w:right="0" w:rightChars="0" w:firstLine="0" w:firstLineChars="0"/>
              <w:jc w:val="center"/>
              <w:rPr>
                <w:rFonts w:hint="eastAsia" w:ascii="仿宋" w:hAnsi="仿宋" w:eastAsia="仿宋" w:cs="仿宋"/>
                <w:color w:val="auto"/>
                <w:kern w:val="0"/>
                <w:sz w:val="22"/>
                <w:highlight w:val="none"/>
                <w:u w:val="none"/>
                <w:lang w:val="en-US" w:eastAsia="zh-CN"/>
              </w:rPr>
            </w:pPr>
            <w:r>
              <w:rPr>
                <w:rFonts w:hint="eastAsia" w:ascii="仿宋" w:hAnsi="仿宋" w:eastAsia="仿宋" w:cs="仿宋"/>
                <w:color w:val="auto"/>
                <w:kern w:val="0"/>
                <w:sz w:val="22"/>
                <w:highlight w:val="none"/>
                <w:u w:val="none"/>
                <w:lang w:val="en-US" w:eastAsia="zh-CN"/>
              </w:rPr>
              <w:t>19236.62</w:t>
            </w:r>
          </w:p>
        </w:tc>
      </w:tr>
      <w:tr>
        <w:tblPrEx>
          <w:tblLayout w:type="fixed"/>
          <w:tblCellMar>
            <w:top w:w="0" w:type="dxa"/>
            <w:left w:w="108" w:type="dxa"/>
            <w:bottom w:w="0" w:type="dxa"/>
            <w:right w:w="108" w:type="dxa"/>
          </w:tblCellMar>
        </w:tblPrEx>
        <w:trPr>
          <w:trHeight w:val="613" w:hRule="atLeast"/>
        </w:trPr>
        <w:tc>
          <w:tcPr>
            <w:tcW w:w="3449" w:type="dxa"/>
            <w:tcBorders>
              <w:top w:val="nil"/>
              <w:left w:val="single" w:color="auto" w:sz="4" w:space="0"/>
              <w:bottom w:val="single" w:color="auto" w:sz="4" w:space="0"/>
              <w:right w:val="single" w:color="auto" w:sz="4" w:space="0"/>
            </w:tcBorders>
            <w:vAlign w:val="center"/>
          </w:tcPr>
          <w:p>
            <w:pPr>
              <w:widowControl/>
              <w:spacing w:line="560" w:lineRule="exact"/>
              <w:ind w:firstLine="440" w:firstLineChars="200"/>
              <w:rPr>
                <w:rFonts w:hint="eastAsia" w:ascii="仿宋" w:hAnsi="仿宋" w:eastAsia="仿宋" w:cs="仿宋"/>
                <w:color w:val="auto"/>
                <w:kern w:val="0"/>
                <w:sz w:val="22"/>
                <w:highlight w:val="none"/>
                <w:u w:val="none"/>
              </w:rPr>
            </w:pPr>
            <w:r>
              <w:rPr>
                <w:rFonts w:hint="eastAsia" w:ascii="仿宋" w:hAnsi="仿宋" w:eastAsia="仿宋" w:cs="仿宋"/>
                <w:color w:val="auto"/>
                <w:kern w:val="0"/>
                <w:sz w:val="22"/>
                <w:highlight w:val="none"/>
                <w:u w:val="none"/>
              </w:rPr>
              <w:t>4、其他固定资产</w:t>
            </w:r>
          </w:p>
        </w:tc>
        <w:tc>
          <w:tcPr>
            <w:tcW w:w="2081" w:type="dxa"/>
            <w:tcBorders>
              <w:top w:val="nil"/>
              <w:left w:val="nil"/>
              <w:bottom w:val="single" w:color="auto" w:sz="4" w:space="0"/>
              <w:right w:val="single" w:color="auto" w:sz="4" w:space="0"/>
            </w:tcBorders>
            <w:vAlign w:val="center"/>
          </w:tcPr>
          <w:p>
            <w:pPr>
              <w:widowControl/>
              <w:spacing w:line="560" w:lineRule="exact"/>
              <w:ind w:firstLine="440" w:firstLineChars="200"/>
              <w:rPr>
                <w:rFonts w:hint="eastAsia" w:ascii="仿宋" w:hAnsi="仿宋" w:eastAsia="仿宋" w:cs="仿宋"/>
                <w:color w:val="auto"/>
                <w:kern w:val="0"/>
                <w:sz w:val="22"/>
                <w:highlight w:val="none"/>
                <w:u w:val="none"/>
              </w:rPr>
            </w:pPr>
          </w:p>
        </w:tc>
        <w:tc>
          <w:tcPr>
            <w:tcW w:w="3370" w:type="dxa"/>
            <w:tcBorders>
              <w:top w:val="nil"/>
              <w:left w:val="nil"/>
              <w:bottom w:val="single" w:color="auto" w:sz="4" w:space="0"/>
              <w:right w:val="single" w:color="auto" w:sz="4" w:space="0"/>
            </w:tcBorders>
            <w:vAlign w:val="center"/>
          </w:tcPr>
          <w:p>
            <w:pPr>
              <w:widowControl/>
              <w:spacing w:line="560" w:lineRule="exact"/>
              <w:ind w:left="0" w:leftChars="0" w:right="0" w:rightChars="0" w:firstLine="0" w:firstLineChars="0"/>
              <w:jc w:val="center"/>
              <w:rPr>
                <w:rFonts w:hint="eastAsia" w:ascii="仿宋" w:hAnsi="仿宋" w:eastAsia="仿宋" w:cs="仿宋"/>
                <w:color w:val="auto"/>
                <w:kern w:val="0"/>
                <w:sz w:val="22"/>
                <w:highlight w:val="none"/>
                <w:u w:val="none"/>
                <w:lang w:val="en-US" w:eastAsia="zh-CN"/>
              </w:rPr>
            </w:pPr>
            <w:r>
              <w:rPr>
                <w:rFonts w:hint="eastAsia" w:ascii="仿宋" w:hAnsi="仿宋" w:eastAsia="仿宋" w:cs="仿宋"/>
                <w:color w:val="auto"/>
                <w:kern w:val="0"/>
                <w:sz w:val="22"/>
                <w:highlight w:val="none"/>
                <w:u w:val="none"/>
                <w:lang w:val="en-US" w:eastAsia="zh-CN"/>
              </w:rPr>
              <w:t>32136.17</w:t>
            </w:r>
          </w:p>
        </w:tc>
      </w:tr>
    </w:tbl>
    <w:p>
      <w:pPr>
        <w:widowControl/>
        <w:numPr>
          <w:ilvl w:val="0"/>
          <w:numId w:val="2"/>
        </w:numPr>
        <w:spacing w:line="560" w:lineRule="exact"/>
        <w:ind w:firstLine="643" w:firstLineChars="200"/>
        <w:rPr>
          <w:rFonts w:hint="eastAsia" w:ascii="仿宋" w:hAnsi="仿宋" w:eastAsia="仿宋" w:cs="仿宋"/>
          <w:b/>
          <w:bCs/>
          <w:color w:val="auto"/>
          <w:sz w:val="32"/>
          <w:szCs w:val="32"/>
          <w:highlight w:val="none"/>
          <w:u w:val="none"/>
        </w:rPr>
      </w:pPr>
      <w:r>
        <w:rPr>
          <w:rFonts w:hint="eastAsia" w:ascii="仿宋" w:hAnsi="仿宋" w:eastAsia="仿宋" w:cs="仿宋"/>
          <w:b/>
          <w:bCs/>
          <w:color w:val="auto"/>
          <w:sz w:val="32"/>
          <w:szCs w:val="32"/>
          <w:highlight w:val="none"/>
          <w:u w:val="none"/>
        </w:rPr>
        <w:t>其他需要说明的情况</w:t>
      </w:r>
    </w:p>
    <w:p>
      <w:pPr>
        <w:widowControl/>
        <w:spacing w:line="560" w:lineRule="exact"/>
        <w:ind w:firstLine="640" w:firstLineChars="200"/>
        <w:rPr>
          <w:rFonts w:hint="eastAsia" w:ascii="仿宋" w:hAnsi="仿宋" w:eastAsia="仿宋" w:cs="仿宋"/>
          <w:color w:val="auto"/>
          <w:kern w:val="0"/>
          <w:sz w:val="32"/>
          <w:szCs w:val="32"/>
          <w:highlight w:val="none"/>
          <w:u w:val="none"/>
        </w:rPr>
      </w:pPr>
      <w:r>
        <w:rPr>
          <w:rFonts w:hint="eastAsia" w:ascii="仿宋" w:hAnsi="仿宋" w:eastAsia="仿宋" w:cs="仿宋"/>
          <w:color w:val="auto"/>
          <w:kern w:val="0"/>
          <w:sz w:val="32"/>
          <w:szCs w:val="32"/>
          <w:highlight w:val="none"/>
          <w:u w:val="none"/>
        </w:rPr>
        <w:t xml:space="preserve"> 由于决算公开表格中金额数值应当保留两位小数，公开数据为四舍五入计算结果，个别数据合计项与分项之和存在小数点后差额，特此说明。</w:t>
      </w:r>
    </w:p>
    <w:p>
      <w:pPr>
        <w:autoSpaceDE w:val="0"/>
        <w:autoSpaceDN w:val="0"/>
        <w:adjustRightInd w:val="0"/>
        <w:spacing w:line="560" w:lineRule="exact"/>
        <w:ind w:firstLine="643" w:firstLineChars="200"/>
        <w:rPr>
          <w:rFonts w:hint="eastAsia" w:ascii="仿宋" w:hAnsi="仿宋" w:eastAsia="仿宋" w:cs="仿宋"/>
          <w:b/>
          <w:bCs/>
          <w:color w:val="auto"/>
          <w:sz w:val="32"/>
          <w:szCs w:val="32"/>
          <w:highlight w:val="none"/>
          <w:u w:val="none"/>
        </w:rPr>
      </w:pPr>
      <w:r>
        <w:rPr>
          <w:rFonts w:hint="eastAsia" w:ascii="仿宋" w:hAnsi="仿宋" w:eastAsia="仿宋" w:cs="仿宋"/>
          <w:b/>
          <w:bCs/>
          <w:color w:val="auto"/>
          <w:sz w:val="32"/>
          <w:szCs w:val="32"/>
          <w:highlight w:val="none"/>
          <w:u w:val="none"/>
        </w:rPr>
        <w:t>四、名词解释</w:t>
      </w:r>
    </w:p>
    <w:p>
      <w:pPr>
        <w:widowControl/>
        <w:spacing w:line="560" w:lineRule="exact"/>
        <w:ind w:firstLine="640" w:firstLineChars="200"/>
        <w:rPr>
          <w:rFonts w:hint="eastAsia" w:ascii="仿宋" w:hAnsi="仿宋" w:eastAsia="仿宋" w:cs="仿宋"/>
          <w:color w:val="auto"/>
          <w:kern w:val="0"/>
          <w:sz w:val="32"/>
          <w:szCs w:val="32"/>
          <w:highlight w:val="none"/>
          <w:u w:val="none"/>
        </w:rPr>
      </w:pPr>
      <w:r>
        <w:rPr>
          <w:rFonts w:hint="eastAsia" w:ascii="仿宋" w:hAnsi="仿宋" w:eastAsia="仿宋" w:cs="仿宋"/>
          <w:color w:val="auto"/>
          <w:kern w:val="0"/>
          <w:sz w:val="32"/>
          <w:szCs w:val="32"/>
          <w:highlight w:val="none"/>
          <w:u w:val="none"/>
        </w:rPr>
        <w:t>（一）财政拨款收入：本年度从本级财政部门取得的财政拨款，包括一般公共预算财政拨款和政府性基金预算财政拨款。</w:t>
      </w:r>
    </w:p>
    <w:p>
      <w:pPr>
        <w:widowControl/>
        <w:spacing w:line="560" w:lineRule="exact"/>
        <w:ind w:firstLine="640" w:firstLineChars="200"/>
        <w:rPr>
          <w:rFonts w:hint="eastAsia" w:ascii="仿宋" w:hAnsi="仿宋" w:eastAsia="仿宋" w:cs="仿宋"/>
          <w:color w:val="auto"/>
          <w:kern w:val="0"/>
          <w:sz w:val="32"/>
          <w:szCs w:val="32"/>
          <w:highlight w:val="none"/>
          <w:u w:val="none"/>
        </w:rPr>
      </w:pPr>
      <w:r>
        <w:rPr>
          <w:rFonts w:hint="eastAsia" w:ascii="仿宋" w:hAnsi="仿宋" w:eastAsia="仿宋" w:cs="仿宋"/>
          <w:color w:val="auto"/>
          <w:kern w:val="0"/>
          <w:sz w:val="32"/>
          <w:szCs w:val="32"/>
          <w:highlight w:val="none"/>
          <w:u w:val="none"/>
        </w:rPr>
        <w:t>（二）事业收入：指事业单位开展专业业务活动及辅助活动所取得的收入。</w:t>
      </w:r>
    </w:p>
    <w:p>
      <w:pPr>
        <w:widowControl/>
        <w:spacing w:line="560" w:lineRule="exact"/>
        <w:ind w:firstLine="640" w:firstLineChars="200"/>
        <w:rPr>
          <w:rFonts w:hint="eastAsia" w:ascii="仿宋" w:hAnsi="仿宋" w:eastAsia="仿宋" w:cs="仿宋"/>
          <w:color w:val="auto"/>
          <w:kern w:val="0"/>
          <w:sz w:val="32"/>
          <w:szCs w:val="32"/>
          <w:highlight w:val="none"/>
          <w:u w:val="none"/>
        </w:rPr>
      </w:pPr>
      <w:r>
        <w:rPr>
          <w:rFonts w:hint="eastAsia" w:ascii="仿宋" w:hAnsi="仿宋" w:eastAsia="仿宋" w:cs="仿宋"/>
          <w:color w:val="auto"/>
          <w:kern w:val="0"/>
          <w:sz w:val="32"/>
          <w:szCs w:val="32"/>
          <w:highlight w:val="none"/>
          <w:u w:val="none"/>
        </w:rPr>
        <w:t>（三）其他收入：指除上述“财政拨款收入”、“事业收入”、“经营收入”等以外的收入。</w:t>
      </w:r>
    </w:p>
    <w:p>
      <w:pPr>
        <w:widowControl/>
        <w:spacing w:line="560" w:lineRule="exact"/>
        <w:ind w:firstLine="640" w:firstLineChars="200"/>
        <w:rPr>
          <w:rFonts w:hint="eastAsia" w:ascii="仿宋" w:hAnsi="仿宋" w:eastAsia="仿宋" w:cs="仿宋"/>
          <w:color w:val="auto"/>
          <w:kern w:val="0"/>
          <w:sz w:val="32"/>
          <w:szCs w:val="32"/>
          <w:highlight w:val="none"/>
          <w:u w:val="none"/>
        </w:rPr>
      </w:pPr>
      <w:r>
        <w:rPr>
          <w:rFonts w:hint="eastAsia" w:ascii="仿宋" w:hAnsi="仿宋" w:eastAsia="仿宋" w:cs="仿宋"/>
          <w:color w:val="auto"/>
          <w:kern w:val="0"/>
          <w:sz w:val="32"/>
          <w:szCs w:val="32"/>
          <w:highlight w:val="none"/>
          <w:u w:val="none"/>
        </w:rPr>
        <w:t>（四）用事业基金弥补收支差额：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0" w:firstLineChars="200"/>
        <w:rPr>
          <w:rFonts w:hint="eastAsia" w:ascii="仿宋" w:hAnsi="仿宋" w:eastAsia="仿宋" w:cs="仿宋"/>
          <w:color w:val="auto"/>
          <w:kern w:val="0"/>
          <w:sz w:val="32"/>
          <w:szCs w:val="32"/>
          <w:highlight w:val="none"/>
          <w:u w:val="none"/>
        </w:rPr>
      </w:pPr>
      <w:r>
        <w:rPr>
          <w:rFonts w:hint="eastAsia" w:ascii="仿宋" w:hAnsi="仿宋" w:eastAsia="仿宋" w:cs="仿宋"/>
          <w:color w:val="auto"/>
          <w:kern w:val="0"/>
          <w:sz w:val="32"/>
          <w:szCs w:val="32"/>
          <w:highlight w:val="none"/>
          <w:u w:val="none"/>
        </w:rPr>
        <w:t>（五）年初结转和结余：指以前年度尚未完成、结转到本年仍按原规定用途继续使用的资金，或项目已完成等产生的结余资金。</w:t>
      </w:r>
    </w:p>
    <w:p>
      <w:pPr>
        <w:widowControl/>
        <w:spacing w:line="560" w:lineRule="exact"/>
        <w:ind w:firstLine="640" w:firstLineChars="200"/>
        <w:rPr>
          <w:rFonts w:hint="eastAsia" w:ascii="仿宋" w:hAnsi="仿宋" w:eastAsia="仿宋" w:cs="仿宋"/>
          <w:color w:val="auto"/>
          <w:kern w:val="0"/>
          <w:sz w:val="32"/>
          <w:szCs w:val="32"/>
          <w:highlight w:val="none"/>
          <w:u w:val="none"/>
        </w:rPr>
      </w:pPr>
      <w:r>
        <w:rPr>
          <w:rFonts w:hint="eastAsia" w:ascii="仿宋" w:hAnsi="仿宋" w:eastAsia="仿宋" w:cs="仿宋"/>
          <w:color w:val="auto"/>
          <w:kern w:val="0"/>
          <w:sz w:val="32"/>
          <w:szCs w:val="32"/>
          <w:highlight w:val="none"/>
          <w:u w:val="none"/>
        </w:rPr>
        <w:t>（六）结余分配：指事业单位按照事业单位会计制度的规定从非财政补助结余中分配的事业基金和职工福利基金等。</w:t>
      </w:r>
    </w:p>
    <w:p>
      <w:pPr>
        <w:widowControl/>
        <w:spacing w:line="560" w:lineRule="exact"/>
        <w:ind w:firstLine="640" w:firstLineChars="200"/>
        <w:rPr>
          <w:rFonts w:hint="eastAsia" w:ascii="仿宋" w:hAnsi="仿宋" w:eastAsia="仿宋" w:cs="仿宋"/>
          <w:color w:val="auto"/>
          <w:kern w:val="0"/>
          <w:sz w:val="32"/>
          <w:szCs w:val="32"/>
          <w:highlight w:val="none"/>
          <w:u w:val="none"/>
        </w:rPr>
      </w:pPr>
      <w:r>
        <w:rPr>
          <w:rFonts w:hint="eastAsia" w:ascii="仿宋" w:hAnsi="仿宋" w:eastAsia="仿宋" w:cs="仿宋"/>
          <w:color w:val="auto"/>
          <w:kern w:val="0"/>
          <w:sz w:val="32"/>
          <w:szCs w:val="32"/>
          <w:highlight w:val="none"/>
          <w:u w:val="none"/>
        </w:rPr>
        <w:t>（七）年末结转和结余：指单位按有关规定结转到下年或以后年度继续使用的资金，或项目已完成等产生的结余资金。</w:t>
      </w:r>
    </w:p>
    <w:p>
      <w:pPr>
        <w:widowControl/>
        <w:spacing w:line="560" w:lineRule="exact"/>
        <w:ind w:firstLine="640" w:firstLineChars="200"/>
        <w:rPr>
          <w:rFonts w:hint="eastAsia" w:ascii="仿宋" w:hAnsi="仿宋" w:eastAsia="仿宋" w:cs="仿宋"/>
          <w:color w:val="auto"/>
          <w:kern w:val="0"/>
          <w:sz w:val="32"/>
          <w:szCs w:val="32"/>
          <w:highlight w:val="none"/>
          <w:u w:val="none"/>
        </w:rPr>
      </w:pPr>
      <w:r>
        <w:rPr>
          <w:rFonts w:hint="eastAsia" w:ascii="仿宋" w:hAnsi="仿宋" w:eastAsia="仿宋" w:cs="仿宋"/>
          <w:color w:val="auto"/>
          <w:kern w:val="0"/>
          <w:sz w:val="32"/>
          <w:szCs w:val="32"/>
          <w:highlight w:val="none"/>
          <w:u w:val="none"/>
        </w:rPr>
        <w:t>（八）基本支出：填列单位为保障机构正常运转、完成日常工作任务而发生的各项支出。</w:t>
      </w:r>
    </w:p>
    <w:p>
      <w:pPr>
        <w:widowControl/>
        <w:spacing w:line="560" w:lineRule="exact"/>
        <w:ind w:firstLine="640" w:firstLineChars="200"/>
        <w:rPr>
          <w:rFonts w:hint="eastAsia" w:ascii="仿宋" w:hAnsi="仿宋" w:eastAsia="仿宋" w:cs="仿宋"/>
          <w:color w:val="auto"/>
          <w:kern w:val="0"/>
          <w:sz w:val="32"/>
          <w:szCs w:val="32"/>
          <w:highlight w:val="none"/>
          <w:u w:val="none"/>
        </w:rPr>
      </w:pPr>
      <w:r>
        <w:rPr>
          <w:rFonts w:hint="eastAsia" w:ascii="仿宋" w:hAnsi="仿宋" w:eastAsia="仿宋" w:cs="仿宋"/>
          <w:color w:val="auto"/>
          <w:kern w:val="0"/>
          <w:sz w:val="32"/>
          <w:szCs w:val="32"/>
          <w:highlight w:val="none"/>
          <w:u w:val="none"/>
        </w:rPr>
        <w:t>（九）项目支出：填列单位为完成特定的行政工作任务或事业发展目标，在基本支出之外发生的各项支出</w:t>
      </w:r>
    </w:p>
    <w:p>
      <w:pPr>
        <w:widowControl/>
        <w:spacing w:line="560" w:lineRule="exact"/>
        <w:ind w:firstLine="640" w:firstLineChars="200"/>
        <w:rPr>
          <w:rFonts w:hint="eastAsia" w:ascii="仿宋" w:hAnsi="仿宋" w:eastAsia="仿宋" w:cs="仿宋"/>
          <w:color w:val="auto"/>
          <w:kern w:val="0"/>
          <w:sz w:val="32"/>
          <w:szCs w:val="32"/>
          <w:highlight w:val="none"/>
          <w:u w:val="none"/>
        </w:rPr>
      </w:pPr>
      <w:r>
        <w:rPr>
          <w:rFonts w:hint="eastAsia" w:ascii="仿宋" w:hAnsi="仿宋" w:eastAsia="仿宋" w:cs="仿宋"/>
          <w:color w:val="auto"/>
          <w:kern w:val="0"/>
          <w:sz w:val="32"/>
          <w:szCs w:val="32"/>
          <w:highlight w:val="none"/>
          <w:u w:val="none"/>
        </w:rPr>
        <w:t>（十）基本建设支出：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0" w:firstLineChars="200"/>
        <w:rPr>
          <w:rFonts w:hint="eastAsia" w:ascii="仿宋" w:hAnsi="仿宋" w:eastAsia="仿宋" w:cs="仿宋"/>
          <w:color w:val="auto"/>
          <w:kern w:val="0"/>
          <w:sz w:val="32"/>
          <w:szCs w:val="32"/>
          <w:highlight w:val="none"/>
          <w:u w:val="none"/>
        </w:rPr>
      </w:pPr>
      <w:r>
        <w:rPr>
          <w:rFonts w:hint="eastAsia" w:ascii="仿宋" w:hAnsi="仿宋" w:eastAsia="仿宋" w:cs="仿宋"/>
          <w:color w:val="auto"/>
          <w:kern w:val="0"/>
          <w:sz w:val="32"/>
          <w:szCs w:val="32"/>
          <w:highlight w:val="none"/>
          <w:u w:val="none"/>
        </w:rPr>
        <w:t>（十一）其他资本性支出：填列由各级非发展与改革部门集中安排的用于购置固定资产、战备性和应急性储备、土地和无形资产，以及购建基础设施、大型修缮和财政支持企业更新改造所发生的支出。</w:t>
      </w:r>
    </w:p>
    <w:p>
      <w:pPr>
        <w:widowControl/>
        <w:spacing w:line="560" w:lineRule="exact"/>
        <w:ind w:firstLine="640" w:firstLineChars="200"/>
        <w:rPr>
          <w:rFonts w:hint="eastAsia" w:ascii="仿宋" w:hAnsi="仿宋" w:eastAsia="仿宋" w:cs="仿宋"/>
          <w:color w:val="auto"/>
          <w:kern w:val="0"/>
          <w:sz w:val="32"/>
          <w:szCs w:val="32"/>
          <w:highlight w:val="none"/>
          <w:u w:val="none"/>
        </w:rPr>
      </w:pPr>
      <w:r>
        <w:rPr>
          <w:rFonts w:hint="eastAsia" w:ascii="仿宋" w:hAnsi="仿宋" w:eastAsia="仿宋" w:cs="仿宋"/>
          <w:color w:val="auto"/>
          <w:kern w:val="0"/>
          <w:sz w:val="32"/>
          <w:szCs w:val="32"/>
          <w:highlight w:val="none"/>
          <w:u w:val="none"/>
        </w:rPr>
        <w:t>（十二）“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line="560" w:lineRule="exact"/>
        <w:ind w:firstLine="640" w:firstLineChars="200"/>
        <w:rPr>
          <w:rFonts w:hint="eastAsia" w:ascii="仿宋" w:hAnsi="仿宋" w:eastAsia="仿宋" w:cs="仿宋"/>
          <w:color w:val="auto"/>
          <w:kern w:val="0"/>
          <w:sz w:val="32"/>
          <w:szCs w:val="32"/>
          <w:highlight w:val="none"/>
          <w:u w:val="none"/>
        </w:rPr>
      </w:pPr>
      <w:r>
        <w:rPr>
          <w:rFonts w:hint="eastAsia" w:ascii="仿宋" w:hAnsi="仿宋" w:eastAsia="仿宋" w:cs="仿宋"/>
          <w:color w:val="auto"/>
          <w:kern w:val="0"/>
          <w:sz w:val="32"/>
          <w:szCs w:val="32"/>
          <w:highlight w:val="none"/>
          <w:u w:val="none"/>
        </w:rPr>
        <w:t>（十三）其他交通费用：填列单位除公务用车运行维护费以外的其他交通费用。如飞机、船舶等的燃料费、维修费、过桥过路费、保险费、出租车费用、公务交通补贴等。</w:t>
      </w:r>
    </w:p>
    <w:p>
      <w:pPr>
        <w:widowControl/>
        <w:spacing w:line="560" w:lineRule="exact"/>
        <w:ind w:firstLine="640" w:firstLineChars="200"/>
        <w:rPr>
          <w:rFonts w:hint="eastAsia" w:ascii="仿宋" w:hAnsi="仿宋" w:eastAsia="仿宋" w:cs="仿宋"/>
          <w:color w:val="auto"/>
          <w:kern w:val="0"/>
          <w:sz w:val="32"/>
          <w:szCs w:val="32"/>
          <w:highlight w:val="none"/>
          <w:u w:val="none"/>
        </w:rPr>
      </w:pPr>
      <w:r>
        <w:rPr>
          <w:rFonts w:hint="eastAsia" w:ascii="仿宋" w:hAnsi="仿宋" w:eastAsia="仿宋" w:cs="仿宋"/>
          <w:color w:val="auto"/>
          <w:kern w:val="0"/>
          <w:sz w:val="32"/>
          <w:szCs w:val="32"/>
          <w:highlight w:val="none"/>
          <w:u w:val="none"/>
        </w:rPr>
        <w:t>（十四）公务用车购置：填列单位公务用车车辆购置支出（含车辆购置税）。</w:t>
      </w:r>
    </w:p>
    <w:p>
      <w:pPr>
        <w:widowControl/>
        <w:spacing w:line="560" w:lineRule="exact"/>
        <w:ind w:firstLine="640" w:firstLineChars="200"/>
        <w:rPr>
          <w:rFonts w:hint="eastAsia" w:ascii="仿宋" w:hAnsi="仿宋" w:eastAsia="仿宋" w:cs="仿宋"/>
          <w:color w:val="auto"/>
          <w:kern w:val="0"/>
          <w:sz w:val="32"/>
          <w:szCs w:val="32"/>
          <w:highlight w:val="none"/>
          <w:u w:val="none"/>
        </w:rPr>
      </w:pPr>
      <w:r>
        <w:rPr>
          <w:rFonts w:hint="eastAsia" w:ascii="仿宋" w:hAnsi="仿宋" w:eastAsia="仿宋" w:cs="仿宋"/>
          <w:color w:val="auto"/>
          <w:kern w:val="0"/>
          <w:sz w:val="32"/>
          <w:szCs w:val="32"/>
          <w:highlight w:val="none"/>
          <w:u w:val="none"/>
        </w:rPr>
        <w:t>（十五）其他交通工具购置：填列单位除公务用车外的其他各类交通工具（如船舶、飞机）购置支出（含车辆购置税）。</w:t>
      </w:r>
    </w:p>
    <w:p>
      <w:pPr>
        <w:widowControl/>
        <w:spacing w:line="560" w:lineRule="exact"/>
        <w:ind w:firstLine="640" w:firstLineChars="200"/>
        <w:rPr>
          <w:rFonts w:hint="eastAsia" w:ascii="仿宋" w:hAnsi="仿宋" w:eastAsia="仿宋" w:cs="仿宋"/>
          <w:color w:val="auto"/>
          <w:highlight w:val="none"/>
          <w:u w:val="none"/>
        </w:rPr>
      </w:pPr>
      <w:r>
        <w:rPr>
          <w:rFonts w:hint="eastAsia" w:ascii="仿宋" w:hAnsi="仿宋" w:eastAsia="仿宋" w:cs="仿宋"/>
          <w:color w:val="auto"/>
          <w:kern w:val="0"/>
          <w:sz w:val="32"/>
          <w:szCs w:val="32"/>
          <w:highlight w:val="none"/>
          <w:u w:val="none"/>
        </w:rPr>
        <w:t>（十六）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rPr>
          <w:rFonts w:hint="eastAsia" w:ascii="仿宋" w:hAnsi="仿宋" w:eastAsia="仿宋" w:cs="仿宋"/>
          <w:color w:val="auto"/>
          <w:highlight w:val="none"/>
          <w:u w:val="none"/>
        </w:rPr>
      </w:pPr>
    </w:p>
    <w:sectPr>
      <w:footerReference r:id="rId3" w:type="even"/>
      <w:pgSz w:w="11906" w:h="16838"/>
      <w:pgMar w:top="1440" w:right="1701" w:bottom="1440" w:left="1701"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C40BD"/>
    <w:multiLevelType w:val="singleLevel"/>
    <w:tmpl w:val="0C4C40BD"/>
    <w:lvl w:ilvl="0" w:tentative="0">
      <w:start w:val="4"/>
      <w:numFmt w:val="decimal"/>
      <w:suff w:val="nothing"/>
      <w:lvlText w:val="%1、"/>
      <w:lvlJc w:val="left"/>
      <w:rPr>
        <w:rFonts w:cs="Times New Roman"/>
      </w:rPr>
    </w:lvl>
  </w:abstractNum>
  <w:abstractNum w:abstractNumId="1">
    <w:nsid w:val="5F6E5825"/>
    <w:multiLevelType w:val="singleLevel"/>
    <w:tmpl w:val="5F6E5825"/>
    <w:lvl w:ilvl="0" w:tentative="0">
      <w:start w:val="1"/>
      <w:numFmt w:val="chineseCounting"/>
      <w:suff w:val="nothing"/>
      <w:lvlText w:val="%1、"/>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4408"/>
    <w:rsid w:val="00052DDA"/>
    <w:rsid w:val="003864BA"/>
    <w:rsid w:val="005F1124"/>
    <w:rsid w:val="00614BE8"/>
    <w:rsid w:val="0080217F"/>
    <w:rsid w:val="00882DA2"/>
    <w:rsid w:val="00964408"/>
    <w:rsid w:val="00995795"/>
    <w:rsid w:val="00AB2588"/>
    <w:rsid w:val="00D77B1D"/>
    <w:rsid w:val="0B6362FD"/>
    <w:rsid w:val="13B77E26"/>
    <w:rsid w:val="1854771D"/>
    <w:rsid w:val="22A86D6C"/>
    <w:rsid w:val="30AC44EC"/>
    <w:rsid w:val="338E763F"/>
    <w:rsid w:val="35D67793"/>
    <w:rsid w:val="3CCE1080"/>
    <w:rsid w:val="3F895361"/>
    <w:rsid w:val="44280210"/>
    <w:rsid w:val="4CD232F0"/>
    <w:rsid w:val="5578523E"/>
    <w:rsid w:val="5803655D"/>
    <w:rsid w:val="5DE074D4"/>
    <w:rsid w:val="5FFF0E11"/>
    <w:rsid w:val="61F35362"/>
    <w:rsid w:val="62AB5323"/>
    <w:rsid w:val="6C450C01"/>
    <w:rsid w:val="72C54E9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0"/>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uiPriority w:val="99"/>
    <w:rPr>
      <w:rFonts w:cs="Times New Roman"/>
    </w:rPr>
  </w:style>
  <w:style w:type="character" w:customStyle="1" w:styleId="7">
    <w:name w:val="Footer Char"/>
    <w:basedOn w:val="5"/>
    <w:link w:val="2"/>
    <w:semiHidden/>
    <w:qFormat/>
    <w:uiPriority w:val="99"/>
    <w:rPr>
      <w:rFonts w:ascii="Calibri" w:hAnsi="Calibri"/>
      <w:sz w:val="18"/>
      <w:szCs w:val="18"/>
    </w:rPr>
  </w:style>
  <w:style w:type="character" w:customStyle="1" w:styleId="8">
    <w:name w:val="Header Char"/>
    <w:basedOn w:val="5"/>
    <w:link w:val="3"/>
    <w:semiHidden/>
    <w:qFormat/>
    <w:uiPriority w:val="99"/>
    <w:rPr>
      <w:rFonts w:ascii="Calibri" w:hAnsi="Calibr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269;&#24211;\AppData\Roaming\Kingsoft\wps\addons\pool\win-i386\knewfileruby_1.0.0.12\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11</Pages>
  <Words>908</Words>
  <Characters>5180</Characters>
  <Lines>0</Lines>
  <Paragraphs>0</Paragraphs>
  <TotalTime>1</TotalTime>
  <ScaleCrop>false</ScaleCrop>
  <LinksUpToDate>false</LinksUpToDate>
  <CharactersWithSpaces>0</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2018-10-09T08:52:00Z</dcterms:created>
  <dc:creator>国库</dc:creator>
  <cp:lastModifiedBy>Administrator</cp:lastModifiedBy>
  <cp:lastPrinted>2018-10-10T00:45:00Z</cp:lastPrinted>
  <dcterms:modified xsi:type="dcterms:W3CDTF">2019-01-26T02:44:31Z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